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296FC" w14:textId="77777777" w:rsidR="008C1A13" w:rsidRPr="002B320F" w:rsidRDefault="008C1A13" w:rsidP="007C327A">
      <w:pPr>
        <w:pStyle w:val="Nagwek2"/>
        <w:spacing w:before="0"/>
        <w:jc w:val="center"/>
        <w:rPr>
          <w:rFonts w:ascii="Calibri" w:hAnsi="Calibri" w:cs="Calibri"/>
          <w:sz w:val="24"/>
          <w:szCs w:val="24"/>
        </w:rPr>
      </w:pPr>
      <w:r w:rsidRPr="002B320F">
        <w:rPr>
          <w:rFonts w:ascii="Calibri" w:hAnsi="Calibri" w:cs="Calibri"/>
          <w:sz w:val="24"/>
          <w:szCs w:val="24"/>
        </w:rPr>
        <w:t>Wójt Gminy Gniezno</w:t>
      </w:r>
    </w:p>
    <w:p w14:paraId="37D6FF97" w14:textId="77777777" w:rsidR="008C1A13" w:rsidRPr="002B320F" w:rsidRDefault="008C1A13" w:rsidP="008C1A13">
      <w:pPr>
        <w:pStyle w:val="Nagwek3"/>
        <w:jc w:val="center"/>
        <w:rPr>
          <w:rFonts w:ascii="Calibri" w:hAnsi="Calibri" w:cs="Calibri"/>
          <w:i/>
          <w:sz w:val="24"/>
        </w:rPr>
      </w:pPr>
      <w:r w:rsidRPr="002B320F">
        <w:rPr>
          <w:rFonts w:ascii="Calibri" w:hAnsi="Calibri" w:cs="Calibri"/>
          <w:i/>
          <w:sz w:val="24"/>
        </w:rPr>
        <w:t>ogłasza</w:t>
      </w:r>
    </w:p>
    <w:p w14:paraId="4E18069E" w14:textId="77777777" w:rsidR="008C1A13" w:rsidRPr="002B320F" w:rsidRDefault="008C1A13" w:rsidP="008C1A13">
      <w:pPr>
        <w:jc w:val="center"/>
        <w:rPr>
          <w:rFonts w:ascii="Calibri" w:hAnsi="Calibri" w:cs="Calibri"/>
          <w:b/>
          <w:i/>
          <w:sz w:val="14"/>
        </w:rPr>
      </w:pPr>
    </w:p>
    <w:p w14:paraId="0AC2AF2C" w14:textId="386E2C1B" w:rsidR="008C1A13" w:rsidRPr="002B320F" w:rsidRDefault="00CC0890" w:rsidP="008C1A13">
      <w:pPr>
        <w:tabs>
          <w:tab w:val="left" w:pos="2520"/>
        </w:tabs>
        <w:ind w:left="360"/>
        <w:jc w:val="center"/>
        <w:rPr>
          <w:rFonts w:ascii="Calibri" w:hAnsi="Calibri" w:cs="Calibri"/>
          <w:b/>
          <w:i/>
        </w:rPr>
      </w:pPr>
      <w:r>
        <w:rPr>
          <w:rFonts w:ascii="Calibri" w:hAnsi="Calibri" w:cs="Calibri"/>
          <w:b/>
          <w:i/>
        </w:rPr>
        <w:t>I</w:t>
      </w:r>
      <w:r w:rsidR="007C0841">
        <w:rPr>
          <w:rFonts w:ascii="Calibri" w:hAnsi="Calibri" w:cs="Calibri"/>
          <w:b/>
          <w:i/>
        </w:rPr>
        <w:t>I</w:t>
      </w:r>
      <w:r w:rsidR="00F4656F">
        <w:rPr>
          <w:rFonts w:ascii="Calibri" w:hAnsi="Calibri" w:cs="Calibri"/>
          <w:b/>
          <w:i/>
        </w:rPr>
        <w:t>I</w:t>
      </w:r>
      <w:r w:rsidR="008C1A13" w:rsidRPr="002B320F">
        <w:rPr>
          <w:rFonts w:ascii="Calibri" w:hAnsi="Calibri" w:cs="Calibri"/>
          <w:b/>
          <w:i/>
        </w:rPr>
        <w:t xml:space="preserve">  przetarg ustny nieograniczony  na  sprzedaż  nieruchomości  gruntow</w:t>
      </w:r>
      <w:r>
        <w:rPr>
          <w:rFonts w:ascii="Calibri" w:hAnsi="Calibri" w:cs="Calibri"/>
          <w:b/>
          <w:i/>
        </w:rPr>
        <w:t xml:space="preserve">ej  położonej </w:t>
      </w:r>
      <w:r>
        <w:rPr>
          <w:rFonts w:ascii="Calibri" w:hAnsi="Calibri" w:cs="Calibri"/>
          <w:b/>
          <w:i/>
        </w:rPr>
        <w:br/>
        <w:t>w  miejscowości  Lulkowo</w:t>
      </w:r>
      <w:r w:rsidR="008C1A13" w:rsidRPr="002B320F">
        <w:rPr>
          <w:rFonts w:ascii="Calibri" w:hAnsi="Calibri" w:cs="Calibri"/>
          <w:b/>
          <w:i/>
        </w:rPr>
        <w:t>:</w:t>
      </w:r>
    </w:p>
    <w:tbl>
      <w:tblPr>
        <w:tblStyle w:val="Tabela-Siatka"/>
        <w:tblW w:w="9493" w:type="dxa"/>
        <w:tblLook w:val="04A0" w:firstRow="1" w:lastRow="0" w:firstColumn="1" w:lastColumn="0" w:noHBand="0" w:noVBand="1"/>
      </w:tblPr>
      <w:tblGrid>
        <w:gridCol w:w="492"/>
        <w:gridCol w:w="938"/>
        <w:gridCol w:w="1216"/>
        <w:gridCol w:w="1563"/>
        <w:gridCol w:w="1037"/>
        <w:gridCol w:w="945"/>
        <w:gridCol w:w="2007"/>
        <w:gridCol w:w="1295"/>
      </w:tblGrid>
      <w:tr w:rsidR="00C4704F" w:rsidRPr="002B320F" w14:paraId="68871E19" w14:textId="77777777" w:rsidTr="00C4704F">
        <w:tc>
          <w:tcPr>
            <w:tcW w:w="495" w:type="dxa"/>
            <w:shd w:val="clear" w:color="auto" w:fill="BFBFBF" w:themeFill="background1" w:themeFillShade="BF"/>
            <w:vAlign w:val="center"/>
          </w:tcPr>
          <w:p w14:paraId="69C6E14E" w14:textId="77777777" w:rsidR="001E45F6" w:rsidRPr="002B320F" w:rsidRDefault="001E45F6">
            <w:pPr>
              <w:rPr>
                <w:i/>
              </w:rPr>
            </w:pPr>
            <w:r w:rsidRPr="002B320F">
              <w:rPr>
                <w:i/>
              </w:rPr>
              <w:t>Lp.</w:t>
            </w:r>
          </w:p>
        </w:tc>
        <w:tc>
          <w:tcPr>
            <w:tcW w:w="971" w:type="dxa"/>
            <w:shd w:val="clear" w:color="auto" w:fill="BFBFBF" w:themeFill="background1" w:themeFillShade="BF"/>
            <w:vAlign w:val="center"/>
          </w:tcPr>
          <w:p w14:paraId="0DBE61A1" w14:textId="77777777" w:rsidR="001E45F6" w:rsidRPr="002B320F" w:rsidRDefault="001E45F6" w:rsidP="001E45F6">
            <w:pPr>
              <w:jc w:val="center"/>
              <w:rPr>
                <w:i/>
              </w:rPr>
            </w:pPr>
            <w:r w:rsidRPr="002B320F">
              <w:rPr>
                <w:rFonts w:ascii="Calibri" w:hAnsi="Calibri" w:cs="Calibri"/>
                <w:b/>
                <w:i/>
                <w:sz w:val="18"/>
                <w:szCs w:val="18"/>
              </w:rPr>
              <w:t xml:space="preserve">Nr </w:t>
            </w:r>
            <w:proofErr w:type="spellStart"/>
            <w:r w:rsidRPr="002B320F">
              <w:rPr>
                <w:rFonts w:ascii="Calibri" w:hAnsi="Calibri" w:cs="Calibri"/>
                <w:b/>
                <w:i/>
                <w:sz w:val="18"/>
                <w:szCs w:val="18"/>
              </w:rPr>
              <w:t>geodez</w:t>
            </w:r>
            <w:proofErr w:type="spellEnd"/>
            <w:r w:rsidRPr="002B320F">
              <w:rPr>
                <w:rFonts w:ascii="Calibri" w:hAnsi="Calibri" w:cs="Calibri"/>
                <w:b/>
                <w:i/>
                <w:sz w:val="18"/>
                <w:szCs w:val="18"/>
              </w:rPr>
              <w:t>. działki</w:t>
            </w:r>
          </w:p>
        </w:tc>
        <w:tc>
          <w:tcPr>
            <w:tcW w:w="1217" w:type="dxa"/>
            <w:shd w:val="clear" w:color="auto" w:fill="BFBFBF" w:themeFill="background1" w:themeFillShade="BF"/>
            <w:vAlign w:val="center"/>
          </w:tcPr>
          <w:p w14:paraId="5BB40D5E" w14:textId="77777777" w:rsidR="001E45F6" w:rsidRPr="002B320F" w:rsidRDefault="001E45F6" w:rsidP="001E45F6">
            <w:pPr>
              <w:jc w:val="center"/>
              <w:rPr>
                <w:i/>
              </w:rPr>
            </w:pPr>
            <w:r w:rsidRPr="002B320F">
              <w:rPr>
                <w:rFonts w:ascii="Calibri" w:hAnsi="Calibri" w:cs="Calibri"/>
                <w:b/>
                <w:i/>
                <w:sz w:val="18"/>
                <w:szCs w:val="18"/>
              </w:rPr>
              <w:t xml:space="preserve">Powierzchnia </w:t>
            </w:r>
            <w:r w:rsidRPr="002B320F">
              <w:rPr>
                <w:rFonts w:ascii="Calibri" w:hAnsi="Calibri" w:cs="Calibri"/>
                <w:b/>
                <w:i/>
                <w:sz w:val="18"/>
                <w:szCs w:val="18"/>
              </w:rPr>
              <w:br/>
              <w:t>w m</w:t>
            </w:r>
            <w:r w:rsidRPr="002B320F">
              <w:rPr>
                <w:rFonts w:ascii="Calibri" w:hAnsi="Calibri" w:cs="Calibri"/>
                <w:b/>
                <w:i/>
                <w:sz w:val="18"/>
                <w:szCs w:val="18"/>
                <w:vertAlign w:val="superscript"/>
              </w:rPr>
              <w:t>2</w:t>
            </w:r>
          </w:p>
        </w:tc>
        <w:tc>
          <w:tcPr>
            <w:tcW w:w="1593" w:type="dxa"/>
            <w:shd w:val="clear" w:color="auto" w:fill="BFBFBF" w:themeFill="background1" w:themeFillShade="BF"/>
            <w:vAlign w:val="center"/>
          </w:tcPr>
          <w:p w14:paraId="2571AB9D" w14:textId="77777777" w:rsidR="001E45F6" w:rsidRPr="002B320F" w:rsidRDefault="001E45F6" w:rsidP="001E45F6">
            <w:pPr>
              <w:jc w:val="center"/>
              <w:rPr>
                <w:i/>
              </w:rPr>
            </w:pPr>
            <w:r w:rsidRPr="002B320F">
              <w:rPr>
                <w:rFonts w:ascii="Calibri" w:hAnsi="Calibri" w:cs="Calibri"/>
                <w:b/>
                <w:i/>
                <w:sz w:val="18"/>
                <w:szCs w:val="18"/>
              </w:rPr>
              <w:t>Nr KW</w:t>
            </w:r>
          </w:p>
        </w:tc>
        <w:tc>
          <w:tcPr>
            <w:tcW w:w="962" w:type="dxa"/>
            <w:shd w:val="clear" w:color="auto" w:fill="BFBFBF" w:themeFill="background1" w:themeFillShade="BF"/>
            <w:vAlign w:val="center"/>
          </w:tcPr>
          <w:p w14:paraId="14D15F0F" w14:textId="77777777" w:rsidR="001E45F6" w:rsidRPr="002B320F" w:rsidRDefault="001E45F6" w:rsidP="001E45F6">
            <w:pPr>
              <w:jc w:val="center"/>
              <w:rPr>
                <w:i/>
              </w:rPr>
            </w:pPr>
            <w:r w:rsidRPr="002B320F">
              <w:rPr>
                <w:rFonts w:ascii="Calibri" w:hAnsi="Calibri" w:cs="Calibri"/>
                <w:b/>
                <w:i/>
                <w:sz w:val="18"/>
                <w:szCs w:val="18"/>
              </w:rPr>
              <w:t>Cena netto</w:t>
            </w:r>
          </w:p>
        </w:tc>
        <w:tc>
          <w:tcPr>
            <w:tcW w:w="866" w:type="dxa"/>
            <w:shd w:val="clear" w:color="auto" w:fill="BFBFBF" w:themeFill="background1" w:themeFillShade="BF"/>
            <w:vAlign w:val="center"/>
          </w:tcPr>
          <w:p w14:paraId="3F387EB1" w14:textId="77777777" w:rsidR="001E45F6" w:rsidRPr="002B320F" w:rsidRDefault="001E45F6" w:rsidP="001E45F6">
            <w:pPr>
              <w:jc w:val="center"/>
              <w:rPr>
                <w:i/>
              </w:rPr>
            </w:pPr>
            <w:r w:rsidRPr="002B320F">
              <w:rPr>
                <w:rFonts w:ascii="Calibri" w:hAnsi="Calibri" w:cs="Calibri"/>
                <w:b/>
                <w:i/>
                <w:sz w:val="18"/>
                <w:szCs w:val="18"/>
              </w:rPr>
              <w:t>Wadium</w:t>
            </w:r>
          </w:p>
        </w:tc>
        <w:tc>
          <w:tcPr>
            <w:tcW w:w="2094" w:type="dxa"/>
            <w:shd w:val="clear" w:color="auto" w:fill="BFBFBF" w:themeFill="background1" w:themeFillShade="BF"/>
          </w:tcPr>
          <w:p w14:paraId="756127A3" w14:textId="77777777" w:rsidR="001E45F6" w:rsidRPr="002B320F" w:rsidRDefault="001E45F6" w:rsidP="001E45F6">
            <w:pPr>
              <w:jc w:val="center"/>
              <w:rPr>
                <w:i/>
              </w:rPr>
            </w:pPr>
            <w:r w:rsidRPr="002B320F">
              <w:rPr>
                <w:rFonts w:ascii="Calibri" w:hAnsi="Calibri" w:cs="Calibri"/>
                <w:b/>
                <w:i/>
                <w:sz w:val="18"/>
                <w:szCs w:val="18"/>
              </w:rPr>
              <w:t xml:space="preserve">Przeznaczenie </w:t>
            </w:r>
            <w:r w:rsidRPr="002B320F">
              <w:rPr>
                <w:rFonts w:ascii="Calibri" w:hAnsi="Calibri" w:cs="Calibri"/>
                <w:b/>
                <w:i/>
                <w:sz w:val="18"/>
                <w:szCs w:val="18"/>
              </w:rPr>
              <w:br/>
              <w:t>w planie zagospodarowania przestrzennego</w:t>
            </w:r>
          </w:p>
        </w:tc>
        <w:tc>
          <w:tcPr>
            <w:tcW w:w="1295" w:type="dxa"/>
            <w:shd w:val="clear" w:color="auto" w:fill="BFBFBF" w:themeFill="background1" w:themeFillShade="BF"/>
            <w:vAlign w:val="center"/>
          </w:tcPr>
          <w:p w14:paraId="2B3A822A" w14:textId="77777777" w:rsidR="001E45F6" w:rsidRPr="002B320F" w:rsidRDefault="001E45F6" w:rsidP="001E45F6">
            <w:pPr>
              <w:spacing w:before="100" w:beforeAutospacing="1" w:after="100" w:afterAutospacing="1"/>
              <w:jc w:val="center"/>
              <w:rPr>
                <w:rFonts w:ascii="Calibri" w:hAnsi="Calibri" w:cs="Calibri"/>
                <w:b/>
                <w:i/>
                <w:sz w:val="18"/>
                <w:szCs w:val="18"/>
              </w:rPr>
            </w:pPr>
            <w:r w:rsidRPr="002B320F">
              <w:rPr>
                <w:rFonts w:ascii="Calibri" w:hAnsi="Calibri" w:cs="Calibri"/>
                <w:b/>
                <w:i/>
                <w:sz w:val="18"/>
                <w:szCs w:val="18"/>
              </w:rPr>
              <w:t>Obciążenie nieruchomości</w:t>
            </w:r>
          </w:p>
          <w:p w14:paraId="7EA05919" w14:textId="77777777" w:rsidR="001E45F6" w:rsidRPr="002B320F" w:rsidRDefault="001E45F6" w:rsidP="001E45F6">
            <w:pPr>
              <w:jc w:val="center"/>
              <w:rPr>
                <w:i/>
              </w:rPr>
            </w:pPr>
          </w:p>
        </w:tc>
      </w:tr>
      <w:tr w:rsidR="007C327A" w:rsidRPr="002B320F" w14:paraId="4D350232" w14:textId="77777777" w:rsidTr="008A0F2C">
        <w:tc>
          <w:tcPr>
            <w:tcW w:w="495" w:type="dxa"/>
            <w:vAlign w:val="center"/>
          </w:tcPr>
          <w:p w14:paraId="229A9567" w14:textId="77777777" w:rsidR="007C327A" w:rsidRPr="002B320F" w:rsidRDefault="00CC0890" w:rsidP="007C327A">
            <w:pPr>
              <w:jc w:val="center"/>
              <w:rPr>
                <w:i/>
                <w:sz w:val="18"/>
                <w:szCs w:val="18"/>
              </w:rPr>
            </w:pPr>
            <w:r>
              <w:rPr>
                <w:i/>
                <w:sz w:val="18"/>
                <w:szCs w:val="18"/>
              </w:rPr>
              <w:t>1</w:t>
            </w:r>
            <w:r w:rsidR="007C327A" w:rsidRPr="002B320F">
              <w:rPr>
                <w:i/>
                <w:sz w:val="18"/>
                <w:szCs w:val="18"/>
              </w:rPr>
              <w:t>.</w:t>
            </w:r>
          </w:p>
        </w:tc>
        <w:tc>
          <w:tcPr>
            <w:tcW w:w="971" w:type="dxa"/>
            <w:vAlign w:val="center"/>
          </w:tcPr>
          <w:p w14:paraId="1F624E9C" w14:textId="77777777" w:rsidR="007C327A" w:rsidRPr="002B320F" w:rsidRDefault="00CC0890" w:rsidP="007C327A">
            <w:pPr>
              <w:jc w:val="center"/>
              <w:rPr>
                <w:i/>
                <w:sz w:val="18"/>
                <w:szCs w:val="18"/>
              </w:rPr>
            </w:pPr>
            <w:r>
              <w:rPr>
                <w:i/>
                <w:sz w:val="18"/>
                <w:szCs w:val="18"/>
              </w:rPr>
              <w:t>88/1</w:t>
            </w:r>
          </w:p>
        </w:tc>
        <w:tc>
          <w:tcPr>
            <w:tcW w:w="1217" w:type="dxa"/>
            <w:vAlign w:val="center"/>
          </w:tcPr>
          <w:p w14:paraId="196E875F" w14:textId="77777777" w:rsidR="007C327A" w:rsidRPr="002B320F" w:rsidRDefault="00CC0890" w:rsidP="007C327A">
            <w:pPr>
              <w:jc w:val="center"/>
              <w:rPr>
                <w:i/>
                <w:sz w:val="18"/>
                <w:szCs w:val="18"/>
              </w:rPr>
            </w:pPr>
            <w:r>
              <w:rPr>
                <w:i/>
                <w:sz w:val="18"/>
                <w:szCs w:val="18"/>
              </w:rPr>
              <w:t>5</w:t>
            </w:r>
            <w:r w:rsidR="007C0841">
              <w:rPr>
                <w:i/>
                <w:sz w:val="18"/>
                <w:szCs w:val="18"/>
              </w:rPr>
              <w:t>0</w:t>
            </w:r>
            <w:r>
              <w:rPr>
                <w:i/>
                <w:sz w:val="18"/>
                <w:szCs w:val="18"/>
              </w:rPr>
              <w:t>.206</w:t>
            </w:r>
          </w:p>
        </w:tc>
        <w:tc>
          <w:tcPr>
            <w:tcW w:w="1593" w:type="dxa"/>
            <w:vAlign w:val="center"/>
          </w:tcPr>
          <w:p w14:paraId="404C130A" w14:textId="77777777" w:rsidR="007C327A" w:rsidRPr="002B320F" w:rsidRDefault="00CC0890" w:rsidP="007C327A">
            <w:pPr>
              <w:jc w:val="center"/>
              <w:rPr>
                <w:i/>
                <w:sz w:val="16"/>
                <w:szCs w:val="16"/>
              </w:rPr>
            </w:pPr>
            <w:r>
              <w:rPr>
                <w:i/>
                <w:sz w:val="16"/>
                <w:szCs w:val="16"/>
              </w:rPr>
              <w:t>PO1G/00086468/9</w:t>
            </w:r>
          </w:p>
        </w:tc>
        <w:tc>
          <w:tcPr>
            <w:tcW w:w="962" w:type="dxa"/>
            <w:vAlign w:val="center"/>
          </w:tcPr>
          <w:p w14:paraId="41834412" w14:textId="06980F90" w:rsidR="007C327A" w:rsidRPr="002B320F" w:rsidRDefault="00F4656F" w:rsidP="007C327A">
            <w:pPr>
              <w:jc w:val="center"/>
              <w:rPr>
                <w:rFonts w:ascii="Calibri" w:hAnsi="Calibri" w:cs="Calibri"/>
                <w:i/>
                <w:sz w:val="18"/>
                <w:szCs w:val="18"/>
              </w:rPr>
            </w:pPr>
            <w:r>
              <w:rPr>
                <w:rFonts w:ascii="Calibri" w:hAnsi="Calibri" w:cs="Calibri"/>
                <w:i/>
                <w:sz w:val="18"/>
                <w:szCs w:val="18"/>
              </w:rPr>
              <w:t>235.396,00</w:t>
            </w:r>
          </w:p>
        </w:tc>
        <w:tc>
          <w:tcPr>
            <w:tcW w:w="866" w:type="dxa"/>
            <w:vAlign w:val="center"/>
          </w:tcPr>
          <w:p w14:paraId="63D72D6B" w14:textId="77AEA2AF" w:rsidR="007C327A" w:rsidRPr="002B320F" w:rsidRDefault="00F4656F" w:rsidP="007C327A">
            <w:pPr>
              <w:jc w:val="center"/>
              <w:rPr>
                <w:rFonts w:ascii="Calibri" w:hAnsi="Calibri" w:cs="Calibri"/>
                <w:i/>
                <w:sz w:val="18"/>
                <w:szCs w:val="18"/>
              </w:rPr>
            </w:pPr>
            <w:r>
              <w:rPr>
                <w:rFonts w:ascii="Calibri" w:hAnsi="Calibri" w:cs="Calibri"/>
                <w:i/>
                <w:sz w:val="18"/>
                <w:szCs w:val="18"/>
              </w:rPr>
              <w:t>23.539,60</w:t>
            </w:r>
          </w:p>
        </w:tc>
        <w:tc>
          <w:tcPr>
            <w:tcW w:w="2094" w:type="dxa"/>
          </w:tcPr>
          <w:p w14:paraId="50F65BA1" w14:textId="77777777" w:rsidR="007C327A" w:rsidRPr="00CC0890" w:rsidRDefault="007C327A" w:rsidP="00CC0890">
            <w:pPr>
              <w:jc w:val="center"/>
              <w:rPr>
                <w:i/>
                <w:sz w:val="16"/>
                <w:szCs w:val="16"/>
              </w:rPr>
            </w:pPr>
            <w:r w:rsidRPr="00CC0890">
              <w:rPr>
                <w:i/>
                <w:sz w:val="16"/>
                <w:szCs w:val="16"/>
              </w:rPr>
              <w:t xml:space="preserve">Działka </w:t>
            </w:r>
            <w:r w:rsidR="00CC0890" w:rsidRPr="00CC0890">
              <w:rPr>
                <w:i/>
                <w:sz w:val="16"/>
                <w:szCs w:val="16"/>
              </w:rPr>
              <w:t>w Studium przeznaczona jest pod tereny zabudowy mieszkaniowej – symbol planu „M”</w:t>
            </w:r>
            <w:r w:rsidRPr="00CC0890">
              <w:rPr>
                <w:i/>
                <w:sz w:val="16"/>
                <w:szCs w:val="16"/>
              </w:rPr>
              <w:t>.</w:t>
            </w:r>
          </w:p>
        </w:tc>
        <w:tc>
          <w:tcPr>
            <w:tcW w:w="1295" w:type="dxa"/>
            <w:vAlign w:val="center"/>
          </w:tcPr>
          <w:p w14:paraId="16260FB3" w14:textId="77777777" w:rsidR="007C327A" w:rsidRPr="002B320F" w:rsidRDefault="007C327A" w:rsidP="007C327A">
            <w:pPr>
              <w:jc w:val="center"/>
              <w:rPr>
                <w:i/>
              </w:rPr>
            </w:pPr>
            <w:r w:rsidRPr="002B320F">
              <w:rPr>
                <w:i/>
                <w:sz w:val="16"/>
                <w:szCs w:val="16"/>
              </w:rPr>
              <w:t>Bez obciążeń</w:t>
            </w:r>
          </w:p>
        </w:tc>
      </w:tr>
    </w:tbl>
    <w:p w14:paraId="05A20C8A" w14:textId="77777777" w:rsidR="007C327A" w:rsidRDefault="007C327A" w:rsidP="007C327A">
      <w:pPr>
        <w:pStyle w:val="Tekstpodstawowy"/>
        <w:jc w:val="both"/>
        <w:rPr>
          <w:rFonts w:ascii="Calibri" w:hAnsi="Calibri" w:cs="Calibri"/>
          <w:b/>
          <w:i/>
          <w:sz w:val="21"/>
          <w:szCs w:val="21"/>
        </w:rPr>
      </w:pPr>
    </w:p>
    <w:p w14:paraId="34C7AB7A" w14:textId="77777777" w:rsidR="00A04C1D" w:rsidRPr="00A04C1D" w:rsidRDefault="00A04C1D" w:rsidP="00A04C1D">
      <w:pPr>
        <w:pStyle w:val="Tekstpodstawowy"/>
        <w:jc w:val="both"/>
        <w:rPr>
          <w:rFonts w:asciiTheme="minorHAnsi" w:hAnsiTheme="minorHAnsi"/>
          <w:i/>
          <w:sz w:val="22"/>
          <w:szCs w:val="22"/>
        </w:rPr>
      </w:pPr>
      <w:r w:rsidRPr="00A04C1D">
        <w:rPr>
          <w:rFonts w:asciiTheme="minorHAnsi" w:hAnsiTheme="minorHAnsi"/>
          <w:i/>
          <w:sz w:val="22"/>
          <w:szCs w:val="22"/>
        </w:rPr>
        <w:t xml:space="preserve">Do  wylicytowanej  ceny  doliczony  będzie  podatek  VAT  zgodnie  </w:t>
      </w:r>
      <w:r w:rsidRPr="00A04C1D">
        <w:rPr>
          <w:rFonts w:asciiTheme="minorHAnsi" w:hAnsiTheme="minorHAnsi"/>
          <w:i/>
          <w:sz w:val="22"/>
          <w:szCs w:val="22"/>
        </w:rPr>
        <w:br/>
        <w:t xml:space="preserve">z  obowiązującymi  przepisami. </w:t>
      </w:r>
    </w:p>
    <w:p w14:paraId="6B0A3AA3" w14:textId="65A0F41D" w:rsidR="007C327A" w:rsidRPr="002B320F" w:rsidRDefault="007C327A" w:rsidP="007C327A">
      <w:pPr>
        <w:pStyle w:val="Tekstpodstawowy"/>
        <w:jc w:val="both"/>
        <w:rPr>
          <w:rFonts w:ascii="Calibri" w:hAnsi="Calibri" w:cs="Calibri"/>
          <w:i/>
          <w:sz w:val="21"/>
          <w:szCs w:val="21"/>
        </w:rPr>
      </w:pPr>
      <w:r w:rsidRPr="002B320F">
        <w:rPr>
          <w:rFonts w:ascii="Calibri" w:hAnsi="Calibri" w:cs="Calibri"/>
          <w:b/>
          <w:i/>
          <w:sz w:val="21"/>
          <w:szCs w:val="21"/>
        </w:rPr>
        <w:t xml:space="preserve">Przetarg odbędzie się  w  dniu  </w:t>
      </w:r>
      <w:r w:rsidR="00F4656F">
        <w:rPr>
          <w:rFonts w:ascii="Calibri" w:hAnsi="Calibri" w:cs="Calibri"/>
          <w:b/>
          <w:i/>
          <w:sz w:val="21"/>
          <w:szCs w:val="21"/>
        </w:rPr>
        <w:t>12  marca  2021</w:t>
      </w:r>
      <w:r w:rsidR="005F0159">
        <w:rPr>
          <w:rFonts w:ascii="Calibri" w:hAnsi="Calibri" w:cs="Calibri"/>
          <w:b/>
          <w:i/>
          <w:sz w:val="21"/>
          <w:szCs w:val="21"/>
        </w:rPr>
        <w:t xml:space="preserve"> r., o godz. </w:t>
      </w:r>
      <w:r w:rsidR="005F0159" w:rsidRPr="007C0841">
        <w:rPr>
          <w:rFonts w:ascii="Calibri" w:hAnsi="Calibri" w:cs="Calibri"/>
          <w:b/>
          <w:i/>
          <w:sz w:val="21"/>
          <w:szCs w:val="21"/>
        </w:rPr>
        <w:t>1</w:t>
      </w:r>
      <w:r w:rsidR="007C0841" w:rsidRPr="007C0841">
        <w:rPr>
          <w:rFonts w:ascii="Calibri" w:hAnsi="Calibri" w:cs="Calibri"/>
          <w:b/>
          <w:i/>
          <w:sz w:val="21"/>
          <w:szCs w:val="21"/>
        </w:rPr>
        <w:t>0</w:t>
      </w:r>
      <w:r w:rsidR="00F4656F">
        <w:rPr>
          <w:rFonts w:ascii="Calibri" w:hAnsi="Calibri" w:cs="Calibri"/>
          <w:b/>
          <w:i/>
          <w:sz w:val="21"/>
          <w:szCs w:val="21"/>
          <w:vertAlign w:val="superscript"/>
        </w:rPr>
        <w:t>0</w:t>
      </w:r>
      <w:r w:rsidRPr="007C0841">
        <w:rPr>
          <w:rFonts w:ascii="Calibri" w:hAnsi="Calibri" w:cs="Calibri"/>
          <w:b/>
          <w:i/>
          <w:sz w:val="21"/>
          <w:szCs w:val="21"/>
          <w:vertAlign w:val="superscript"/>
        </w:rPr>
        <w:t>0</w:t>
      </w:r>
      <w:r w:rsidRPr="002B320F">
        <w:rPr>
          <w:rFonts w:ascii="Calibri" w:hAnsi="Calibri" w:cs="Calibri"/>
          <w:i/>
          <w:sz w:val="21"/>
          <w:szCs w:val="21"/>
        </w:rPr>
        <w:t xml:space="preserve">,  sala </w:t>
      </w:r>
      <w:r w:rsidRPr="002B320F">
        <w:rPr>
          <w:rFonts w:ascii="Calibri" w:hAnsi="Calibri" w:cs="Calibri"/>
          <w:i/>
          <w:sz w:val="21"/>
          <w:szCs w:val="21"/>
        </w:rPr>
        <w:br/>
        <w:t>nr 13  w  siedzibie Urzędu Gminy Gniezno,  al. Reymonta 9-11.</w:t>
      </w:r>
    </w:p>
    <w:p w14:paraId="02787ED2" w14:textId="77777777" w:rsidR="007C327A" w:rsidRDefault="007C327A" w:rsidP="007C327A">
      <w:pPr>
        <w:pStyle w:val="Tekstpodstawowy"/>
        <w:jc w:val="both"/>
        <w:rPr>
          <w:rFonts w:ascii="Calibri" w:hAnsi="Calibri" w:cs="Calibri"/>
          <w:i/>
          <w:sz w:val="21"/>
          <w:szCs w:val="21"/>
        </w:rPr>
      </w:pPr>
      <w:r w:rsidRPr="002B320F">
        <w:rPr>
          <w:rFonts w:ascii="Calibri" w:hAnsi="Calibri" w:cs="Calibri"/>
          <w:i/>
          <w:sz w:val="21"/>
          <w:szCs w:val="21"/>
        </w:rPr>
        <w:t xml:space="preserve">Postąpienie pierwsze o 1% ceny wywoławczej, z zaokrągleniem w górę do pełnych dziesiątek złotych. </w:t>
      </w:r>
      <w:r w:rsidRPr="002B320F">
        <w:rPr>
          <w:rFonts w:ascii="Calibri" w:hAnsi="Calibri" w:cs="Calibri"/>
          <w:b/>
          <w:i/>
          <w:sz w:val="21"/>
          <w:szCs w:val="21"/>
        </w:rPr>
        <w:t>Wadium w wysokości 10% ceny wywoławczej</w:t>
      </w:r>
      <w:r w:rsidRPr="002B320F">
        <w:rPr>
          <w:rFonts w:ascii="Calibri" w:hAnsi="Calibri" w:cs="Calibri"/>
          <w:i/>
          <w:sz w:val="21"/>
          <w:szCs w:val="21"/>
        </w:rPr>
        <w:t xml:space="preserve">; wadium może  być wnoszone w pieniądzu, obligacjach Skarbu Państwa lub w papierach wartościowych dopuszczonych do obrotu publicznego. Na potwierdzeniu wpłaty wadium należy podać nr działki i miejscowość, w której położona jest działka oraz podać pełny adres zamieszkania osoby przystępującej do przetargu. </w:t>
      </w:r>
    </w:p>
    <w:p w14:paraId="63A5FEA7" w14:textId="05496626" w:rsidR="007C0841" w:rsidRPr="00766C7B" w:rsidRDefault="007C0841" w:rsidP="007C0841">
      <w:pPr>
        <w:pStyle w:val="Tekstpodstawowy"/>
        <w:jc w:val="both"/>
        <w:rPr>
          <w:rFonts w:ascii="Calibri" w:hAnsi="Calibri"/>
          <w:b/>
          <w:i/>
          <w:sz w:val="22"/>
          <w:szCs w:val="22"/>
        </w:rPr>
      </w:pPr>
      <w:r w:rsidRPr="00766C7B">
        <w:rPr>
          <w:rFonts w:ascii="Calibri" w:hAnsi="Calibri"/>
          <w:b/>
          <w:i/>
          <w:sz w:val="22"/>
          <w:szCs w:val="22"/>
        </w:rPr>
        <w:t xml:space="preserve">Termin  poprzedniego  przetargu  ustnego  nieograniczonego  na  ww.  działki  wyznaczony  był  na  dzień  </w:t>
      </w:r>
      <w:r w:rsidR="00F4656F">
        <w:rPr>
          <w:rFonts w:ascii="Calibri" w:hAnsi="Calibri"/>
          <w:b/>
          <w:i/>
          <w:sz w:val="22"/>
          <w:szCs w:val="22"/>
        </w:rPr>
        <w:t>06.11.2020</w:t>
      </w:r>
      <w:r w:rsidRPr="00766C7B">
        <w:rPr>
          <w:rFonts w:ascii="Calibri" w:hAnsi="Calibri"/>
          <w:b/>
          <w:i/>
          <w:sz w:val="22"/>
          <w:szCs w:val="22"/>
        </w:rPr>
        <w:t xml:space="preserve">  r.</w:t>
      </w:r>
    </w:p>
    <w:p w14:paraId="722727A1" w14:textId="1BAAC7B7" w:rsidR="007C327A" w:rsidRPr="002B320F" w:rsidRDefault="007C327A" w:rsidP="007C327A">
      <w:pPr>
        <w:pStyle w:val="Tekstpodstawowy"/>
        <w:jc w:val="both"/>
        <w:rPr>
          <w:rFonts w:ascii="Calibri" w:hAnsi="Calibri" w:cs="Calibri"/>
          <w:b/>
          <w:i/>
          <w:sz w:val="21"/>
          <w:szCs w:val="21"/>
        </w:rPr>
      </w:pPr>
      <w:r w:rsidRPr="002B320F">
        <w:rPr>
          <w:rFonts w:ascii="Calibri" w:hAnsi="Calibri" w:cs="Calibri"/>
          <w:b/>
          <w:i/>
          <w:sz w:val="21"/>
          <w:szCs w:val="21"/>
        </w:rPr>
        <w:t xml:space="preserve">Wadium należy wpłacić  do  dnia  </w:t>
      </w:r>
      <w:r w:rsidR="00F4656F">
        <w:rPr>
          <w:rFonts w:ascii="Calibri" w:hAnsi="Calibri" w:cs="Calibri"/>
          <w:b/>
          <w:i/>
          <w:sz w:val="21"/>
          <w:szCs w:val="21"/>
        </w:rPr>
        <w:t>10  marca  2021</w:t>
      </w:r>
      <w:r w:rsidRPr="002B320F">
        <w:rPr>
          <w:rFonts w:ascii="Calibri" w:hAnsi="Calibri" w:cs="Calibri"/>
          <w:b/>
          <w:i/>
          <w:sz w:val="21"/>
          <w:szCs w:val="21"/>
        </w:rPr>
        <w:t xml:space="preserve"> r. na konto Urzędu Gminy Gniezno  PKO BP O/Gniezno  45 1020 4115 0000 9002 0004 2333.</w:t>
      </w:r>
    </w:p>
    <w:p w14:paraId="63284FF6" w14:textId="77777777" w:rsidR="007C327A" w:rsidRPr="002B320F" w:rsidRDefault="007C327A" w:rsidP="007C327A">
      <w:pPr>
        <w:pStyle w:val="Tekstpodstawowy"/>
        <w:jc w:val="both"/>
        <w:rPr>
          <w:rFonts w:ascii="Calibri" w:hAnsi="Calibri" w:cs="Calibri"/>
          <w:i/>
          <w:sz w:val="21"/>
          <w:szCs w:val="21"/>
        </w:rPr>
      </w:pPr>
      <w:r w:rsidRPr="002B320F">
        <w:rPr>
          <w:rFonts w:ascii="Calibri" w:hAnsi="Calibri" w:cs="Calibri"/>
          <w:i/>
          <w:sz w:val="21"/>
          <w:szCs w:val="21"/>
        </w:rPr>
        <w:t>Uczestnik przetargu zobowiązany jest przedłożyć komisji przetargowej dowód wpłaty wadium. Wadium wpłacone przez uczestnika, który wygrał przetarg zalicza się na poczet ceny nabycia. Pozostałym uczestnikom wadium zwraca się niezwłocznie po zakończonym przetargu nie później niż przed upływem 3 dni od dnia przetargu. Wadium ulega przepadkowi w razie uchylania się uczestnika, który  przetarg wygrał od zawarcia umowy notarialnej.</w:t>
      </w:r>
    </w:p>
    <w:p w14:paraId="1C906F9B" w14:textId="77777777" w:rsidR="007C327A" w:rsidRPr="002B320F" w:rsidRDefault="007C327A" w:rsidP="007C327A">
      <w:pPr>
        <w:pStyle w:val="Tekstpodstawowy"/>
        <w:jc w:val="both"/>
        <w:rPr>
          <w:rFonts w:ascii="Calibri" w:hAnsi="Calibri" w:cs="Calibri"/>
          <w:i/>
          <w:sz w:val="21"/>
          <w:szCs w:val="21"/>
        </w:rPr>
      </w:pPr>
      <w:r w:rsidRPr="002B320F">
        <w:rPr>
          <w:rFonts w:ascii="Calibri" w:hAnsi="Calibri" w:cs="Calibri"/>
          <w:i/>
          <w:sz w:val="21"/>
          <w:szCs w:val="21"/>
        </w:rPr>
        <w:t xml:space="preserve">Koszty umowy notarialnej  oraz  wpisu do Ksiąg Wieczystych ponosi nabywca. </w:t>
      </w:r>
    </w:p>
    <w:p w14:paraId="6C163B9D" w14:textId="77777777" w:rsidR="007C327A" w:rsidRPr="002B320F" w:rsidRDefault="007C327A" w:rsidP="007C327A">
      <w:pPr>
        <w:pStyle w:val="Tekstpodstawowy"/>
        <w:jc w:val="both"/>
        <w:rPr>
          <w:rFonts w:ascii="Calibri" w:hAnsi="Calibri" w:cs="Calibri"/>
          <w:i/>
          <w:sz w:val="21"/>
          <w:szCs w:val="21"/>
        </w:rPr>
      </w:pPr>
      <w:r w:rsidRPr="002B320F">
        <w:rPr>
          <w:rFonts w:ascii="Calibri" w:hAnsi="Calibri" w:cs="Calibri"/>
          <w:i/>
          <w:sz w:val="21"/>
          <w:szCs w:val="21"/>
        </w:rPr>
        <w:t>Informacje można uzyskać pod nr tel. 61 424-57-57  lub w siedzibie Urzędu Gminy Gniezno pok. nr 19.</w:t>
      </w:r>
    </w:p>
    <w:p w14:paraId="2BF9D99E" w14:textId="77777777" w:rsidR="007C327A" w:rsidRPr="002B320F" w:rsidRDefault="007C327A" w:rsidP="007C327A">
      <w:pPr>
        <w:pStyle w:val="Tekstpodstawowy"/>
        <w:jc w:val="left"/>
        <w:rPr>
          <w:i/>
          <w:sz w:val="21"/>
          <w:szCs w:val="21"/>
        </w:rPr>
      </w:pPr>
    </w:p>
    <w:p w14:paraId="2B1E4550" w14:textId="77777777" w:rsidR="00314C67" w:rsidRPr="002B320F" w:rsidRDefault="00314C67">
      <w:pPr>
        <w:rPr>
          <w:i/>
        </w:rPr>
      </w:pPr>
    </w:p>
    <w:sectPr w:rsidR="00314C67" w:rsidRPr="002B3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A13"/>
    <w:rsid w:val="001E45F6"/>
    <w:rsid w:val="00257E88"/>
    <w:rsid w:val="002B320F"/>
    <w:rsid w:val="00314C67"/>
    <w:rsid w:val="005F0159"/>
    <w:rsid w:val="005F1245"/>
    <w:rsid w:val="007C0841"/>
    <w:rsid w:val="007C327A"/>
    <w:rsid w:val="008A0F2C"/>
    <w:rsid w:val="008C1A13"/>
    <w:rsid w:val="00A04C1D"/>
    <w:rsid w:val="00C4704F"/>
    <w:rsid w:val="00C91D4C"/>
    <w:rsid w:val="00CC0890"/>
    <w:rsid w:val="00D26746"/>
    <w:rsid w:val="00D761F6"/>
    <w:rsid w:val="00D94A0D"/>
    <w:rsid w:val="00E80DA9"/>
    <w:rsid w:val="00F36F54"/>
    <w:rsid w:val="00F46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6F3A"/>
  <w15:chartTrackingRefBased/>
  <w15:docId w15:val="{CA093AC8-B963-4500-BE50-5610CD6C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8C1A13"/>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8C1A13"/>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C1A1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8C1A13"/>
    <w:rPr>
      <w:rFonts w:ascii="Arial" w:eastAsia="Times New Roman" w:hAnsi="Arial" w:cs="Arial"/>
      <w:b/>
      <w:bCs/>
      <w:sz w:val="26"/>
      <w:szCs w:val="26"/>
      <w:lang w:eastAsia="pl-PL"/>
    </w:rPr>
  </w:style>
  <w:style w:type="table" w:styleId="Tabela-Siatka">
    <w:name w:val="Table Grid"/>
    <w:basedOn w:val="Standardowy"/>
    <w:uiPriority w:val="39"/>
    <w:rsid w:val="001E4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7C327A"/>
    <w:pPr>
      <w:spacing w:after="0" w:line="240" w:lineRule="auto"/>
      <w:jc w:val="center"/>
    </w:pPr>
    <w:rPr>
      <w:rFonts w:ascii="Times New Roman" w:eastAsia="Times New Roman" w:hAnsi="Times New Roman" w:cs="Times New Roman"/>
      <w:spacing w:val="20"/>
      <w:sz w:val="24"/>
      <w:szCs w:val="24"/>
      <w:lang w:eastAsia="pl-PL"/>
    </w:rPr>
  </w:style>
  <w:style w:type="character" w:customStyle="1" w:styleId="TekstpodstawowyZnak">
    <w:name w:val="Tekst podstawowy Znak"/>
    <w:basedOn w:val="Domylnaczcionkaakapitu"/>
    <w:link w:val="Tekstpodstawowy"/>
    <w:rsid w:val="007C327A"/>
    <w:rPr>
      <w:rFonts w:ascii="Times New Roman" w:eastAsia="Times New Roman" w:hAnsi="Times New Roman" w:cs="Times New Roman"/>
      <w:spacing w:val="20"/>
      <w:sz w:val="24"/>
      <w:szCs w:val="24"/>
      <w:lang w:eastAsia="pl-PL"/>
    </w:rPr>
  </w:style>
  <w:style w:type="paragraph" w:styleId="Tekstdymka">
    <w:name w:val="Balloon Text"/>
    <w:basedOn w:val="Normalny"/>
    <w:link w:val="TekstdymkaZnak"/>
    <w:uiPriority w:val="99"/>
    <w:semiHidden/>
    <w:unhideWhenUsed/>
    <w:rsid w:val="007C32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3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54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1706</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Gabryszak</dc:creator>
  <cp:keywords/>
  <dc:description/>
  <cp:lastModifiedBy>Sławomir Gabryszak</cp:lastModifiedBy>
  <cp:revision>2</cp:revision>
  <cp:lastPrinted>2021-02-04T12:37:00Z</cp:lastPrinted>
  <dcterms:created xsi:type="dcterms:W3CDTF">2021-02-04T12:38:00Z</dcterms:created>
  <dcterms:modified xsi:type="dcterms:W3CDTF">2021-02-04T12:38:00Z</dcterms:modified>
</cp:coreProperties>
</file>