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C2276" w14:textId="77777777" w:rsidR="00345A03" w:rsidRDefault="00345A03" w:rsidP="00345A03">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6 marca 2025 r.</w:t>
      </w:r>
    </w:p>
    <w:p w14:paraId="6773094B" w14:textId="77777777" w:rsidR="00345A03" w:rsidRDefault="00345A03" w:rsidP="00345A0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6220.5.2024</w:t>
      </w:r>
    </w:p>
    <w:p w14:paraId="433868F9" w14:textId="77777777" w:rsidR="00345A03" w:rsidRDefault="00345A03" w:rsidP="00345A03">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661FF36B" w14:textId="77777777" w:rsidR="00345A03" w:rsidRDefault="00345A03" w:rsidP="00345A03">
      <w:pPr>
        <w:spacing w:after="0" w:line="276" w:lineRule="auto"/>
        <w:jc w:val="both"/>
        <w:rPr>
          <w:rFonts w:ascii="Century Gothic" w:eastAsia="Times New Roman" w:hAnsi="Century Gothic" w:cs="Times New Roman"/>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6 marca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budowie ośmiu domów jednorodzinnych w miejscowości Lubochnia, Gmina Gniezno, działka nr 113/29</w:t>
      </w:r>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72CA3D57" w14:textId="77777777" w:rsidR="00345A03" w:rsidRDefault="00345A03" w:rsidP="00345A03">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53A01AE8" w14:textId="77777777" w:rsidR="00345A03" w:rsidRDefault="00345A03" w:rsidP="00345A03">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7 marca 2025 roku</w:t>
      </w:r>
      <w:r>
        <w:rPr>
          <w:rFonts w:ascii="Century Gothic" w:eastAsia="Times New Roman" w:hAnsi="Century Gothic" w:cs="Times New Roman"/>
          <w:kern w:val="0"/>
          <w:sz w:val="16"/>
          <w:szCs w:val="16"/>
          <w:lang w:eastAsia="pl-PL"/>
          <w14:ligatures w14:val="none"/>
        </w:rPr>
        <w:t>.</w:t>
      </w:r>
    </w:p>
    <w:p w14:paraId="40350A20" w14:textId="77777777" w:rsidR="00345A03" w:rsidRDefault="00345A03" w:rsidP="00345A03">
      <w:pPr>
        <w:tabs>
          <w:tab w:val="left" w:pos="720"/>
          <w:tab w:val="left" w:pos="1080"/>
          <w:tab w:val="left" w:pos="1260"/>
          <w:tab w:val="left" w:pos="2340"/>
        </w:tabs>
        <w:spacing w:after="0" w:line="276" w:lineRule="auto"/>
        <w:rPr>
          <w:rFonts w:ascii="Century Gothic" w:eastAsia="Times New Roman" w:hAnsi="Century Gothic" w:cs="Times New Roman"/>
          <w:color w:val="C00000"/>
          <w:kern w:val="0"/>
          <w:sz w:val="21"/>
          <w:szCs w:val="21"/>
          <w:lang w:eastAsia="pl-PL"/>
          <w14:ligatures w14:val="none"/>
        </w:rPr>
      </w:pPr>
    </w:p>
    <w:p w14:paraId="4DD25147" w14:textId="77777777" w:rsidR="00345A03" w:rsidRDefault="00345A03" w:rsidP="00345A03">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6 marca 2025 r.</w:t>
      </w:r>
    </w:p>
    <w:p w14:paraId="188500F7" w14:textId="77777777" w:rsidR="00345A03" w:rsidRDefault="00345A03" w:rsidP="00345A03">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6220.5.2024</w:t>
      </w:r>
    </w:p>
    <w:p w14:paraId="4182B3FC" w14:textId="77777777" w:rsidR="00345A03" w:rsidRDefault="00345A03" w:rsidP="00345A03">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4E3FA37C" w14:textId="77777777" w:rsidR="00345A03" w:rsidRDefault="00345A03" w:rsidP="00345A03">
      <w:pPr>
        <w:spacing w:after="0" w:line="276" w:lineRule="auto"/>
        <w:jc w:val="center"/>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7A6FBD2F" w14:textId="77777777" w:rsidR="00345A03" w:rsidRDefault="00345A03" w:rsidP="00345A03">
      <w:pPr>
        <w:spacing w:after="0" w:line="276" w:lineRule="auto"/>
        <w:jc w:val="both"/>
        <w:rPr>
          <w:rFonts w:ascii="Century Gothic" w:eastAsia="Times New Roman" w:hAnsi="Century Gothic" w:cs="Times New Roman"/>
          <w:kern w:val="0"/>
          <w:sz w:val="21"/>
          <w:szCs w:val="21"/>
          <w:lang w:eastAsia="pl-PL"/>
          <w14:ligatures w14:val="none"/>
        </w:rPr>
      </w:pPr>
    </w:p>
    <w:p w14:paraId="2BB9BEEB" w14:textId="24507C4F" w:rsidR="00345A03" w:rsidRDefault="00345A03" w:rsidP="00345A03">
      <w:pPr>
        <w:spacing w:after="0" w:line="276" w:lineRule="auto"/>
        <w:jc w:val="both"/>
        <w:rPr>
          <w:rFonts w:ascii="Century Gothic" w:eastAsia="Times New Roman" w:hAnsi="Century Gothic" w:cs="Times New Roman"/>
          <w:kern w:val="0"/>
          <w:sz w:val="21"/>
          <w:szCs w:val="21"/>
          <w14:ligatures w14:val="none"/>
        </w:rPr>
      </w:pPr>
      <w:r>
        <w:rPr>
          <w:rFonts w:ascii="Century Gothic" w:eastAsia="Times New Roman" w:hAnsi="Century Gothic" w:cs="Times New Roman"/>
          <w:kern w:val="0"/>
          <w:sz w:val="21"/>
          <w:szCs w:val="21"/>
          <w:lang w:eastAsia="pl-PL"/>
          <w14:ligatures w14:val="none"/>
        </w:rPr>
        <w:tab/>
      </w:r>
      <w:r>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Pr>
          <w:rFonts w:ascii="Century Gothic" w:eastAsia="Times New Roman" w:hAnsi="Century Gothic" w:cs="Calibri"/>
          <w:i/>
          <w:kern w:val="0"/>
          <w:sz w:val="21"/>
          <w:szCs w:val="21"/>
          <w:lang w:eastAsia="pl-PL"/>
          <w14:ligatures w14:val="none"/>
        </w:rPr>
        <w:t xml:space="preserve">o udostępnianiu informacji </w:t>
      </w:r>
      <w:r>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Pr>
          <w:rFonts w:ascii="Century Gothic" w:eastAsia="Times New Roman" w:hAnsi="Century Gothic" w:cs="Calibri"/>
          <w:i/>
          <w:kern w:val="0"/>
          <w:sz w:val="21"/>
          <w:szCs w:val="21"/>
          <w:lang w:eastAsia="pl-PL"/>
          <w14:ligatures w14:val="none"/>
        </w:rPr>
        <w:br/>
        <w:t>o ocenach oddziaływania na środowisko</w:t>
      </w:r>
      <w:r>
        <w:rPr>
          <w:rFonts w:ascii="Century Gothic" w:eastAsia="Times New Roman" w:hAnsi="Century Gothic" w:cs="Calibri"/>
          <w:kern w:val="0"/>
          <w:sz w:val="21"/>
          <w:szCs w:val="21"/>
          <w:lang w:eastAsia="pl-PL"/>
          <w14:ligatures w14:val="none"/>
        </w:rPr>
        <w:t xml:space="preserve"> /Dz. U. z 2024 r., poz. 1112/ oraz art. 104 ustawy z dnia 14 czerwca 1960 r. </w:t>
      </w:r>
      <w:r>
        <w:rPr>
          <w:rFonts w:ascii="Century Gothic" w:eastAsia="Times New Roman" w:hAnsi="Century Gothic" w:cs="Calibri"/>
          <w:i/>
          <w:kern w:val="0"/>
          <w:sz w:val="21"/>
          <w:szCs w:val="21"/>
          <w:lang w:eastAsia="pl-PL"/>
          <w14:ligatures w14:val="none"/>
        </w:rPr>
        <w:t xml:space="preserve">kodeks postępowania administracyjnego </w:t>
      </w:r>
      <w:r>
        <w:rPr>
          <w:rFonts w:ascii="Century Gothic" w:eastAsia="Times New Roman" w:hAnsi="Century Gothic" w:cs="Calibri"/>
          <w:kern w:val="0"/>
          <w:sz w:val="21"/>
          <w:szCs w:val="21"/>
          <w:lang w:eastAsia="pl-PL"/>
          <w14:ligatures w14:val="none"/>
        </w:rPr>
        <w:t>/Dz. U. z 2024 r., poz. 572/, po rozpatrzeniu wniosku</w:t>
      </w:r>
      <w:r>
        <w:rPr>
          <w:rFonts w:ascii="Century Gothic" w:eastAsia="Times New Roman" w:hAnsi="Century Gothic" w:cs="Times New Roman"/>
          <w:kern w:val="0"/>
          <w:sz w:val="21"/>
          <w:szCs w:val="21"/>
          <w14:ligatures w14:val="none"/>
        </w:rPr>
        <w:t xml:space="preserve"> Inwestora </w:t>
      </w:r>
      <w:r>
        <w:rPr>
          <w:rFonts w:ascii="Century Gothic" w:hAnsi="Century Gothic"/>
          <w:sz w:val="21"/>
          <w:szCs w:val="21"/>
        </w:rPr>
        <w:t>Pani Doroty G</w:t>
      </w:r>
      <w:r>
        <w:rPr>
          <w:rFonts w:ascii="Century Gothic" w:hAnsi="Century Gothic"/>
          <w:sz w:val="21"/>
          <w:szCs w:val="21"/>
        </w:rPr>
        <w:t>.</w:t>
      </w:r>
      <w:r>
        <w:rPr>
          <w:rFonts w:ascii="Century Gothic" w:hAnsi="Century Gothic"/>
          <w:sz w:val="21"/>
          <w:szCs w:val="21"/>
        </w:rPr>
        <w:t xml:space="preserve"> reprezentowanej przez Pełnomocnika Panią Annę Tritt Doradztwo Ekologiczne LADYBIRD, ul. Ogrodowa 1a, 62-241 Żydowo </w:t>
      </w:r>
      <w:r>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Pr>
          <w:rFonts w:ascii="Century Gothic" w:hAnsi="Century Gothic"/>
          <w:sz w:val="21"/>
          <w:szCs w:val="21"/>
        </w:rPr>
        <w:t>budowie ośmiu domów jednorodzinnych w miejscowości Lubochnia, Gmina Gniezno, działka nr 113/29</w:t>
      </w:r>
    </w:p>
    <w:p w14:paraId="0FDE072E" w14:textId="77777777" w:rsidR="00345A03" w:rsidRDefault="00345A03" w:rsidP="00345A03">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53C61FF7" w14:textId="77777777" w:rsidR="00345A03" w:rsidRDefault="00345A03" w:rsidP="00345A03">
      <w:pPr>
        <w:spacing w:after="0" w:line="276" w:lineRule="auto"/>
        <w:jc w:val="center"/>
        <w:rPr>
          <w:rFonts w:ascii="Century Gothic" w:eastAsia="Times New Roman" w:hAnsi="Century Gothic" w:cs="Calibri"/>
          <w:b/>
          <w:kern w:val="0"/>
          <w:sz w:val="21"/>
          <w:szCs w:val="21"/>
          <w:lang w:eastAsia="pl-PL"/>
          <w14:ligatures w14:val="none"/>
        </w:rPr>
      </w:pPr>
    </w:p>
    <w:p w14:paraId="72C51FAB" w14:textId="77777777" w:rsidR="00345A03" w:rsidRDefault="00345A03" w:rsidP="00345A03">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bCs/>
          <w:sz w:val="21"/>
          <w:szCs w:val="21"/>
        </w:rPr>
        <w:t xml:space="preserve"> </w:t>
      </w:r>
      <w:r>
        <w:rPr>
          <w:rFonts w:ascii="Century Gothic" w:hAnsi="Century Gothic"/>
          <w:b/>
          <w:sz w:val="21"/>
          <w:szCs w:val="21"/>
        </w:rPr>
        <w:t>budowie ośmiu domów jednorodzinnych w miejscowości Lubochnia, Gmina Gniezno, działka nr 113/29</w:t>
      </w:r>
      <w:r>
        <w:rPr>
          <w:rFonts w:ascii="Century Gothic" w:hAnsi="Century Gothic"/>
          <w:b/>
          <w:bCs/>
          <w:sz w:val="21"/>
          <w:szCs w:val="21"/>
        </w:rPr>
        <w:t>.</w:t>
      </w:r>
    </w:p>
    <w:p w14:paraId="0F5CD444" w14:textId="77777777" w:rsidR="00345A03" w:rsidRDefault="00345A03" w:rsidP="00345A03">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7747F2F7" w14:textId="77777777" w:rsidR="00345A03" w:rsidRDefault="00345A03" w:rsidP="00345A0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1E40EBC3" w14:textId="77777777" w:rsidR="00345A03" w:rsidRDefault="00345A03" w:rsidP="00345A0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hAnsi="Century Gothic"/>
          <w:bCs/>
          <w:sz w:val="21"/>
          <w:szCs w:val="21"/>
        </w:rPr>
        <w:t>Budowa ośmiu domów jednorodzinnych</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3BA15F66" w14:textId="77777777" w:rsidR="00345A03" w:rsidRDefault="00345A03" w:rsidP="00345A03">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lastRenderedPageBreak/>
        <w:t xml:space="preserve">Przedsięwzięcie realizowane będzie </w:t>
      </w:r>
      <w:r>
        <w:rPr>
          <w:rFonts w:ascii="Century Gothic" w:eastAsia="Times New Roman" w:hAnsi="Century Gothic" w:cs="Calibri"/>
          <w:bCs/>
          <w:kern w:val="0"/>
          <w:sz w:val="21"/>
          <w:szCs w:val="21"/>
          <w14:ligatures w14:val="none"/>
        </w:rPr>
        <w:t xml:space="preserve">na nieruchomości oznaczonej geodezyjnie jako działka nr 113/29, położona w miejscowości Lubochnia, Gmina Gniezno. </w:t>
      </w:r>
    </w:p>
    <w:p w14:paraId="38D59170" w14:textId="77777777" w:rsidR="00345A03" w:rsidRDefault="00345A03" w:rsidP="00345A03">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7439572B" w14:textId="77777777" w:rsidR="00345A03" w:rsidRDefault="00345A03" w:rsidP="00345A03">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Nie prowadzić napraw i konserwacji sprzętu budowlanego na terenie przedsięwzięcia.</w:t>
      </w:r>
    </w:p>
    <w:p w14:paraId="56D1F286" w14:textId="77777777" w:rsidR="00345A03" w:rsidRDefault="00345A03" w:rsidP="00345A03">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Prace budowlane prowadzić wyłącznie w porze dnia, tj. w godz. 6.00—22.00.</w:t>
      </w:r>
    </w:p>
    <w:p w14:paraId="4F51D9B8" w14:textId="77777777" w:rsidR="00345A03" w:rsidRDefault="00345A03" w:rsidP="00345A03">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121A35EC" w14:textId="77777777" w:rsidR="00345A03" w:rsidRDefault="00345A03" w:rsidP="00345A0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Zaopatrzenie w wodę zapewnić z sieci wodociągowej.</w:t>
      </w:r>
    </w:p>
    <w:p w14:paraId="12935C8E" w14:textId="77777777" w:rsidR="00345A03" w:rsidRDefault="00345A03" w:rsidP="00345A0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Niezanieczyszczone masy ziemne i glebę występujące w stanie naturalnym, powstające w trakcie realizacji przedsięwzięcia, wykorzystać w pierwszej kolejności na terenie przedsięwzięcia.</w:t>
      </w:r>
    </w:p>
    <w:p w14:paraId="3A526171" w14:textId="77777777" w:rsidR="00345A03" w:rsidRDefault="00345A03" w:rsidP="00345A03">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ścieki bytowe odprowadzać do sieci kanalizacji sanitarnej. Dopuszcza się ich odprowadzanie do szczelnych zbiorników bezodpływowych jedynie do czasu realizacji sieci kanalizacji sanitarnej. Podłączenie do sieci kanalizacji sanitarnej wykonać niezwłocznie, jak to będzie technicznie możliwe.</w:t>
      </w:r>
    </w:p>
    <w:p w14:paraId="05710C30" w14:textId="77777777" w:rsidR="00345A03" w:rsidRDefault="00345A03" w:rsidP="00345A03">
      <w:pPr>
        <w:pStyle w:val="Akapitzlist"/>
        <w:numPr>
          <w:ilvl w:val="1"/>
          <w:numId w:val="2"/>
        </w:numPr>
        <w:spacing w:after="0" w:line="276" w:lineRule="auto"/>
        <w:jc w:val="both"/>
        <w:rPr>
          <w:rFonts w:ascii="Century Gothic" w:eastAsia="Times New Roman" w:hAnsi="Century Gothic" w:cs="Calibri"/>
          <w:kern w:val="0"/>
          <w:sz w:val="21"/>
          <w:szCs w:val="21"/>
          <w14:ligatures w14:val="none"/>
        </w:rPr>
      </w:pPr>
      <w:r>
        <w:rPr>
          <w:rFonts w:ascii="Century Gothic" w:hAnsi="Century Gothic" w:cs="Calibri"/>
          <w:sz w:val="21"/>
          <w:szCs w:val="21"/>
        </w:rPr>
        <w:t>Wody opadowe i roztopowe z dachów i terenów utwardzonych odprowadzać w sposób niezorganizowany do gruntu i/lub dołów chłonnych lub do zbiorników retencyjnych, bez powodowania szkody na gruntach sąsiednich.</w:t>
      </w:r>
    </w:p>
    <w:p w14:paraId="5CED42A3" w14:textId="77777777" w:rsidR="00345A03" w:rsidRDefault="00345A03" w:rsidP="00345A03">
      <w:pPr>
        <w:pStyle w:val="Akapitzlist"/>
        <w:spacing w:line="276" w:lineRule="auto"/>
        <w:ind w:left="0"/>
        <w:jc w:val="both"/>
        <w:rPr>
          <w:rFonts w:ascii="Century Gothic" w:hAnsi="Century Gothic" w:cs="Calibri"/>
          <w:bCs/>
          <w:iCs/>
          <w:sz w:val="21"/>
          <w:szCs w:val="21"/>
          <w:lang w:eastAsia="pl-PL"/>
        </w:rPr>
      </w:pPr>
      <w:r>
        <w:rPr>
          <w:rFonts w:ascii="Century Gothic" w:hAnsi="Century Gothic" w:cs="Calibri"/>
          <w:b/>
          <w:bCs/>
          <w:iCs/>
          <w:sz w:val="21"/>
          <w:szCs w:val="21"/>
        </w:rPr>
        <w:t xml:space="preserve">III.  Ustalić </w:t>
      </w:r>
      <w:r>
        <w:rPr>
          <w:rFonts w:ascii="Century Gothic" w:hAnsi="Century Gothic" w:cs="Calibri"/>
          <w:bCs/>
          <w:iCs/>
          <w:sz w:val="21"/>
          <w:szCs w:val="21"/>
        </w:rPr>
        <w:t>charakterystykę planowanego przedsięwzięcia zawartą w załączniku do niniejszej decyzji jako jej integralną część.</w:t>
      </w:r>
    </w:p>
    <w:p w14:paraId="15223FB5" w14:textId="77777777" w:rsidR="00345A03" w:rsidRDefault="00345A03" w:rsidP="00345A03">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Uzasadnienie</w:t>
      </w:r>
    </w:p>
    <w:p w14:paraId="5DF2CA16" w14:textId="6BE8F4FD" w:rsidR="00345A03" w:rsidRDefault="00345A03" w:rsidP="00345A0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14:ligatures w14:val="none"/>
        </w:rPr>
        <w:t xml:space="preserve">1.  </w:t>
      </w:r>
      <w:r>
        <w:rPr>
          <w:rFonts w:ascii="Century Gothic" w:eastAsia="Times New Roman" w:hAnsi="Century Gothic" w:cs="Calibri"/>
          <w:kern w:val="0"/>
          <w:sz w:val="21"/>
          <w:szCs w:val="21"/>
          <w:lang w:eastAsia="pl-PL"/>
          <w14:ligatures w14:val="none"/>
        </w:rPr>
        <w:t xml:space="preserve">Wnioskiem z dnia 19 września 2024 r. (data wpływu 19.09.2024 r.) </w:t>
      </w:r>
      <w:r>
        <w:rPr>
          <w:rFonts w:ascii="Century Gothic" w:eastAsia="Times New Roman" w:hAnsi="Century Gothic" w:cs="Times New Roman"/>
          <w:kern w:val="0"/>
          <w:sz w:val="21"/>
          <w:szCs w:val="21"/>
          <w14:ligatures w14:val="none"/>
        </w:rPr>
        <w:t>Inwestor</w:t>
      </w:r>
      <w:r>
        <w:rPr>
          <w:rFonts w:ascii="Century Gothic" w:hAnsi="Century Gothic"/>
          <w:sz w:val="21"/>
          <w:szCs w:val="21"/>
        </w:rPr>
        <w:t xml:space="preserve"> Pani Dorota G</w:t>
      </w:r>
      <w:r>
        <w:rPr>
          <w:rFonts w:ascii="Century Gothic" w:hAnsi="Century Gothic"/>
          <w:sz w:val="21"/>
          <w:szCs w:val="21"/>
        </w:rPr>
        <w:t>.</w:t>
      </w:r>
      <w:r>
        <w:rPr>
          <w:rFonts w:ascii="Century Gothic" w:hAnsi="Century Gothic"/>
          <w:sz w:val="21"/>
          <w:szCs w:val="21"/>
        </w:rPr>
        <w:t xml:space="preserve"> reprezentowana przez Pełnomocnika Panią Annę Tritt Doradztwo Ekologiczne LADYBIRD, ul. Ogrodowa 1a, 62-241 Żydowo</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kern w:val="0"/>
          <w:sz w:val="21"/>
          <w:szCs w:val="21"/>
          <w:lang w:eastAsia="pl-PL"/>
          <w14:ligatures w14:val="none"/>
        </w:rPr>
        <w:t xml:space="preserve">zwróciła się do Wójta Gminy Gniezno o wydanie decyzji o środowiskowych uwarunkowaniach dla przedsięwzięcia polegającego </w:t>
      </w:r>
      <w:r>
        <w:rPr>
          <w:rFonts w:ascii="Century Gothic" w:eastAsia="Times New Roman" w:hAnsi="Century Gothic" w:cs="Calibri"/>
          <w:kern w:val="0"/>
          <w:sz w:val="21"/>
          <w:szCs w:val="21"/>
          <w14:ligatures w14:val="none"/>
        </w:rPr>
        <w:t>na</w:t>
      </w:r>
      <w:r>
        <w:rPr>
          <w:rFonts w:ascii="Century Gothic" w:hAnsi="Century Gothic"/>
          <w:sz w:val="21"/>
          <w:szCs w:val="21"/>
        </w:rPr>
        <w:t xml:space="preserve"> budowie ośmiu domów jednorodzinnych w miejscowości Lubochnia, Gmina Gniezno, działka nr 113/29</w:t>
      </w:r>
      <w:r>
        <w:rPr>
          <w:rFonts w:ascii="Century Gothic" w:eastAsia="Times New Roman" w:hAnsi="Century Gothic" w:cs="Times New Roman"/>
          <w:kern w:val="0"/>
          <w:sz w:val="21"/>
          <w:szCs w:val="21"/>
          <w14:ligatures w14:val="none"/>
        </w:rPr>
        <w:t xml:space="preserve">, </w:t>
      </w:r>
      <w:r>
        <w:rPr>
          <w:rFonts w:ascii="Century Gothic" w:eastAsia="Times New Roman" w:hAnsi="Century Gothic" w:cs="Calibri"/>
          <w:kern w:val="0"/>
          <w:sz w:val="21"/>
          <w:szCs w:val="21"/>
          <w:lang w:eastAsia="pl-PL"/>
          <w14:ligatures w14:val="none"/>
        </w:rPr>
        <w:t>dołączając do wniosku kartę informacyjną przedsięwzięcia (również w wersji elektronicznej), poświadczoną przez właściwy organ mapę ewidencyjną w skali 1:2000, obejmującą przewidywany teren na którym będzie realizowane przedsięwzięcie oraz obejmującą przewidywany obszar, na który będzie oddziaływać przedsięwzięcie, (również w wersji elektronicznej) oraz potwierdzenie wniesienia opłaty skarbowej za udzielenie pełnomocnictwa.</w:t>
      </w:r>
    </w:p>
    <w:p w14:paraId="463F84D6" w14:textId="77777777" w:rsidR="00345A03" w:rsidRDefault="00345A03" w:rsidP="00345A03">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bCs/>
          <w:kern w:val="0"/>
          <w:sz w:val="21"/>
          <w:szCs w:val="21"/>
          <w14:ligatures w14:val="none"/>
        </w:rPr>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0DD7CD3A" w14:textId="77777777" w:rsidR="00345A03" w:rsidRDefault="00345A03" w:rsidP="00345A03">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hAnsi="Century Gothic"/>
          <w:bCs/>
          <w:sz w:val="20"/>
          <w:szCs w:val="20"/>
        </w:rPr>
        <w:t xml:space="preserve">§ 3 ust. 1 pkt 55 lit. b </w:t>
      </w:r>
      <w:proofErr w:type="spellStart"/>
      <w:r>
        <w:rPr>
          <w:rFonts w:ascii="Century Gothic" w:hAnsi="Century Gothic"/>
          <w:bCs/>
          <w:sz w:val="20"/>
          <w:szCs w:val="20"/>
        </w:rPr>
        <w:t>tiret</w:t>
      </w:r>
      <w:proofErr w:type="spellEnd"/>
      <w:r>
        <w:rPr>
          <w:rFonts w:ascii="Century Gothic" w:hAnsi="Century Gothic"/>
          <w:bCs/>
          <w:sz w:val="20"/>
          <w:szCs w:val="20"/>
        </w:rPr>
        <w:t xml:space="preserve"> pierwsze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lastRenderedPageBreak/>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2AE8E87D" w14:textId="77777777" w:rsidR="00345A03" w:rsidRDefault="00345A03" w:rsidP="00345A03">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442BC2A6" w14:textId="77777777" w:rsidR="00345A03" w:rsidRDefault="00345A03" w:rsidP="00345A03">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6220.5.2024 z dnia 24 września 2024 r.) o wszczętym w dniu 19 września 2024 r. postępowaniu w sprawie wydania decyzji o środowiskowych uwarunkowaniach dla wnioskowanego przedsięwzięcia informując o możliwości zapoznania się z aktami sprawy.</w:t>
      </w:r>
    </w:p>
    <w:p w14:paraId="5DD73FD5" w14:textId="77777777" w:rsidR="00345A03" w:rsidRDefault="00345A03" w:rsidP="00345A03">
      <w:pPr>
        <w:pStyle w:val="Tekstpodstawowy3"/>
        <w:spacing w:after="0" w:line="276" w:lineRule="auto"/>
        <w:jc w:val="both"/>
        <w:rPr>
          <w:rFonts w:ascii="Century Gothic" w:hAnsi="Century Gothic" w:cs="Calibri"/>
          <w:sz w:val="21"/>
          <w:szCs w:val="21"/>
        </w:rPr>
      </w:pPr>
      <w:r>
        <w:rPr>
          <w:rFonts w:ascii="Century Gothic" w:hAnsi="Century Gothic" w:cs="Calibri"/>
          <w:kern w:val="0"/>
          <w:sz w:val="21"/>
          <w:szCs w:val="21"/>
          <w:lang w:eastAsia="pl-PL"/>
          <w14:ligatures w14:val="none"/>
        </w:rPr>
        <w:t xml:space="preserve">6. Zgodnie </w:t>
      </w:r>
      <w:r>
        <w:rPr>
          <w:rFonts w:ascii="Century Gothic" w:hAnsi="Century Gothic" w:cs="Calibri"/>
          <w:sz w:val="21"/>
          <w:szCs w:val="21"/>
        </w:rPr>
        <w:t xml:space="preserve">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25B8ACF1" w14:textId="77777777" w:rsidR="00345A03" w:rsidRDefault="00345A03" w:rsidP="00345A03">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Postanowienie Regionalnego Dyrektora Ochrony Środowiska w Poznaniu z dnia 30 stycznia 2025 r. znak WOO-IV.4220.1214.2024.KDB.5 (data wpływu 31.01.2025 r.), </w:t>
      </w:r>
    </w:p>
    <w:p w14:paraId="38CF55DE" w14:textId="77777777" w:rsidR="00345A03" w:rsidRDefault="00345A03" w:rsidP="00345A03">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3 października 2024 r. </w:t>
      </w:r>
      <w:bookmarkStart w:id="1" w:name="_Hlk187313243"/>
      <w:r>
        <w:rPr>
          <w:rFonts w:ascii="Century Gothic" w:hAnsi="Century Gothic" w:cs="Calibri"/>
          <w:sz w:val="21"/>
          <w:szCs w:val="21"/>
          <w:lang w:eastAsia="pl-PL"/>
        </w:rPr>
        <w:t xml:space="preserve">znak ON-NS.9022.5.58.2024 (data wpływu 3.10.2024 r.), </w:t>
      </w:r>
      <w:bookmarkEnd w:id="1"/>
      <w:r>
        <w:rPr>
          <w:rFonts w:ascii="Century Gothic" w:eastAsia="Times New Roman" w:hAnsi="Century Gothic" w:cs="Calibri"/>
          <w:kern w:val="0"/>
          <w:sz w:val="21"/>
          <w:szCs w:val="21"/>
          <w:lang w:eastAsia="pl-PL"/>
          <w14:ligatures w14:val="none"/>
        </w:rPr>
        <w:t xml:space="preserve">podtrzymana Postanowieniem z dnia 8 stycznia 2025 r. </w:t>
      </w:r>
      <w:r>
        <w:rPr>
          <w:rFonts w:ascii="Century Gothic" w:hAnsi="Century Gothic" w:cs="Calibri"/>
          <w:sz w:val="21"/>
          <w:szCs w:val="21"/>
          <w:lang w:eastAsia="pl-PL"/>
        </w:rPr>
        <w:t>znak ON-NS.9022.5.58.2023 (data wpływu 8.01.2025 r.),</w:t>
      </w:r>
    </w:p>
    <w:p w14:paraId="051E07F5" w14:textId="77777777" w:rsidR="00345A03" w:rsidRDefault="00345A03" w:rsidP="00345A03">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sz w:val="21"/>
          <w:szCs w:val="21"/>
          <w:lang w:eastAsia="pl-PL"/>
        </w:rPr>
        <w:t xml:space="preserve">Opinia Dyrektora Zarządu Zlewni Wód Polskich w Poznaniu z dnia 14 października 2024 r. znak PZ.ZZŚ.4901.420.2024.AR.1 (data wpływu 14.10.2024 r.), </w:t>
      </w:r>
      <w:r>
        <w:rPr>
          <w:rFonts w:ascii="Century Gothic" w:eastAsia="Times New Roman" w:hAnsi="Century Gothic" w:cs="Calibri"/>
          <w:kern w:val="0"/>
          <w:sz w:val="21"/>
          <w:szCs w:val="21"/>
          <w:lang w:eastAsia="pl-PL"/>
          <w14:ligatures w14:val="none"/>
        </w:rPr>
        <w:t xml:space="preserve">podtrzymana pismem z dnia 2 stycznia 2025 r., znak </w:t>
      </w:r>
      <w:r>
        <w:rPr>
          <w:rFonts w:ascii="Century Gothic" w:hAnsi="Century Gothic" w:cs="Calibri"/>
          <w:sz w:val="21"/>
          <w:szCs w:val="21"/>
          <w:lang w:eastAsia="pl-PL"/>
        </w:rPr>
        <w:t>PZ.ZZŚ.4901.420.2024.AR.2 (data wpływu 3.01.2025 r.),</w:t>
      </w:r>
    </w:p>
    <w:p w14:paraId="6C240177" w14:textId="77777777" w:rsidR="00345A03" w:rsidRDefault="00345A03" w:rsidP="00345A03">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3C592CAA" w14:textId="77777777" w:rsidR="00345A03" w:rsidRDefault="00345A03" w:rsidP="00345A03">
      <w:pPr>
        <w:spacing w:after="0" w:line="276" w:lineRule="auto"/>
        <w:jc w:val="both"/>
        <w:rPr>
          <w:rFonts w:ascii="Century Gothic" w:hAnsi="Century Gothic"/>
          <w:sz w:val="21"/>
          <w:szCs w:val="21"/>
          <w:lang w:eastAsia="pl-PL"/>
        </w:rPr>
      </w:pPr>
      <w:r>
        <w:rPr>
          <w:rFonts w:ascii="Century Gothic" w:hAnsi="Century Gothic" w:cs="Calibri"/>
          <w:sz w:val="21"/>
          <w:szCs w:val="21"/>
          <w:lang w:eastAsia="pl-PL"/>
        </w:rPr>
        <w:t xml:space="preserve">7. </w:t>
      </w:r>
      <w:r>
        <w:rPr>
          <w:rFonts w:ascii="Century Gothic" w:hAnsi="Century Gothic"/>
          <w:sz w:val="21"/>
          <w:szCs w:val="21"/>
          <w:lang w:eastAsia="pl-PL"/>
        </w:rPr>
        <w:t>Pismem znak WOO-IV.4220.1214.2024.KDB.3 z dnia 7 listopada 2024 r. (data wpływu 7.11.2024 r.) Regionalny Dyrektor Ochrony Środowiska w Poznaniu zwrócił</w:t>
      </w:r>
      <w:r>
        <w:rPr>
          <w:rFonts w:ascii="Century Gothic" w:hAnsi="Century Gothic" w:cs="Arial"/>
          <w:sz w:val="21"/>
          <w:szCs w:val="21"/>
        </w:rPr>
        <w:t xml:space="preserve"> się do Wójta Gminy Gniezno o wezwanie wnioskodawcy do uzupełnienia karty informacyjnej przedsięwzięcia, określając jednocześnie zakres wezwania. </w:t>
      </w:r>
      <w:r>
        <w:rPr>
          <w:rFonts w:ascii="Century Gothic" w:eastAsia="Arial" w:hAnsi="Century Gothic" w:cs="Arial"/>
          <w:sz w:val="21"/>
          <w:szCs w:val="21"/>
        </w:rPr>
        <w:t>Wymagane uzupełnienie Wójt Gminy Gniezno przekazał Regionalnemu Dyrektorowi Ochrony Środowiska w Poznaniu pismem z dnia 20 grudnia 2024 r. znak OŚR.6220.5.2024. Uzupełnienia karty informacyjnej przedsięwzięcia zostały również przekazane do PPIS w Gnieźnie oraz Dyrektora Zarządu Zlewni Wód Polskich w Poznaniu.</w:t>
      </w:r>
    </w:p>
    <w:p w14:paraId="4413481B" w14:textId="77777777" w:rsidR="00345A03" w:rsidRDefault="00345A03" w:rsidP="00345A0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8. Wójt Gminy Gniezno na podstawie wniosku, karty informacyjnej przedsięwzięcia,   wyjaśnień złożonych przez inwestora, po uwzględnieniu stanowisk organów opiniujących oraz dokładnej analizie przesłanek, wynikających z art. 63 ust. 1 pkt 1-3 ustawy z dnia 3 października 2008 roku o udostępnianiu informacji o środowisku i jego ochronie, udziale </w:t>
      </w:r>
      <w:r>
        <w:rPr>
          <w:rFonts w:ascii="Century Gothic" w:eastAsia="Times New Roman" w:hAnsi="Century Gothic" w:cs="Calibri"/>
          <w:kern w:val="0"/>
          <w:sz w:val="21"/>
          <w:szCs w:val="21"/>
          <w:lang w:eastAsia="pl-PL"/>
          <w14:ligatures w14:val="none"/>
        </w:rPr>
        <w:lastRenderedPageBreak/>
        <w:t>społeczeństwa w ochronie środowiska oraz o ocenach oddziaływania na środowisko, a przede wszystkim takich cech przedsięwzięcia jak:</w:t>
      </w:r>
    </w:p>
    <w:p w14:paraId="32C1FF30" w14:textId="77777777" w:rsidR="00345A03" w:rsidRDefault="00345A03" w:rsidP="00345A03">
      <w:pPr>
        <w:numPr>
          <w:ilvl w:val="0"/>
          <w:numId w:val="4"/>
        </w:numPr>
        <w:spacing w:after="0" w:line="276" w:lineRule="auto"/>
        <w:jc w:val="both"/>
        <w:rPr>
          <w:rFonts w:ascii="Century Gothic" w:hAnsi="Century Gothic"/>
          <w:sz w:val="21"/>
          <w:szCs w:val="21"/>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ośmiu domów jednorodzinnych w miejscowości Lubochnia, Gmina Gniezno, działka nr 113/29. </w:t>
      </w:r>
    </w:p>
    <w:p w14:paraId="5767A3EF" w14:textId="77777777" w:rsidR="00345A03" w:rsidRDefault="00345A03" w:rsidP="00345A03">
      <w:pPr>
        <w:spacing w:after="0" w:line="276" w:lineRule="auto"/>
        <w:ind w:left="720"/>
        <w:jc w:val="both"/>
        <w:rPr>
          <w:rFonts w:ascii="Century Gothic" w:hAnsi="Century Gothic"/>
          <w:sz w:val="21"/>
          <w:szCs w:val="21"/>
        </w:rPr>
      </w:pPr>
      <w:r>
        <w:rPr>
          <w:rFonts w:ascii="Century Gothic" w:hAnsi="Century Gothic"/>
          <w:sz w:val="21"/>
          <w:szCs w:val="21"/>
          <w:lang w:eastAsia="pl-PL"/>
        </w:rPr>
        <w:t xml:space="preserve">Pod realizację przedsięwzięcia przeznaczono powierzchnię 1,1249 ha, która </w:t>
      </w:r>
      <w:r>
        <w:rPr>
          <w:rFonts w:ascii="Century Gothic" w:hAnsi="Century Gothic" w:cs="Calibri"/>
          <w:sz w:val="21"/>
          <w:szCs w:val="21"/>
          <w:lang w:eastAsia="pl-PL"/>
        </w:rPr>
        <w:t xml:space="preserve">jest równa powierzchni wskazanej działki. </w:t>
      </w:r>
      <w:r>
        <w:rPr>
          <w:rFonts w:ascii="Century Gothic" w:hAnsi="Century Gothic"/>
          <w:sz w:val="21"/>
          <w:szCs w:val="21"/>
        </w:rPr>
        <w:t xml:space="preserve">Zgodnie z informacjami przekazanymi przez wnioskodawcę w </w:t>
      </w:r>
      <w:proofErr w:type="spellStart"/>
      <w:r>
        <w:rPr>
          <w:rFonts w:ascii="Century Gothic" w:hAnsi="Century Gothic"/>
          <w:sz w:val="21"/>
          <w:szCs w:val="21"/>
        </w:rPr>
        <w:t>k.i.p</w:t>
      </w:r>
      <w:proofErr w:type="spellEnd"/>
      <w:r>
        <w:rPr>
          <w:rFonts w:ascii="Century Gothic" w:hAnsi="Century Gothic"/>
          <w:sz w:val="21"/>
          <w:szCs w:val="21"/>
        </w:rPr>
        <w:t xml:space="preserve">. teren przedmiotowego przedsięwzięcia znajduje się na gruncie stanowiącym </w:t>
      </w:r>
      <w:bookmarkStart w:id="2" w:name="_Hlk189719563"/>
      <w:r>
        <w:rPr>
          <w:rFonts w:ascii="Century Gothic" w:hAnsi="Century Gothic"/>
          <w:sz w:val="21"/>
          <w:szCs w:val="21"/>
        </w:rPr>
        <w:t>grunty rolne o klasie bonitacyjnej gleby RVI</w:t>
      </w:r>
      <w:bookmarkEnd w:id="2"/>
      <w:r>
        <w:rPr>
          <w:rFonts w:ascii="Century Gothic" w:hAnsi="Century Gothic"/>
          <w:sz w:val="21"/>
          <w:szCs w:val="21"/>
        </w:rPr>
        <w:t>. Obecnie teren ten wykorzystywany jest pod uprawy rolne. Na każdej z wydzielonych działek planowana jest budowa budynków mieszalnych o maksymalnie dwóch kondygnacjach nadziemnych. Inwestor planuje budowę 8 budynków mieszkalnych jednorodzinnych o maksymalnej powierzchni zabudowy do 180 rn</w:t>
      </w:r>
      <w:r>
        <w:rPr>
          <w:rFonts w:ascii="Century Gothic" w:hAnsi="Century Gothic"/>
          <w:sz w:val="21"/>
          <w:szCs w:val="21"/>
          <w:vertAlign w:val="superscript"/>
        </w:rPr>
        <w:t xml:space="preserve">2 </w:t>
      </w:r>
      <w:r>
        <w:rPr>
          <w:rFonts w:ascii="Century Gothic" w:hAnsi="Century Gothic"/>
          <w:sz w:val="21"/>
          <w:szCs w:val="21"/>
        </w:rPr>
        <w:t>każdy.</w:t>
      </w:r>
    </w:p>
    <w:p w14:paraId="3E08FD50" w14:textId="77777777" w:rsidR="00345A03" w:rsidRDefault="00345A03" w:rsidP="00345A03">
      <w:pPr>
        <w:spacing w:after="0" w:line="276" w:lineRule="auto"/>
        <w:ind w:left="720" w:firstLine="696"/>
        <w:jc w:val="both"/>
        <w:rPr>
          <w:rFonts w:ascii="Century Gothic" w:hAnsi="Century Gothic"/>
          <w:bCs/>
          <w:iCs/>
          <w:sz w:val="21"/>
          <w:szCs w:val="21"/>
        </w:rPr>
      </w:pPr>
      <w:r>
        <w:rPr>
          <w:rFonts w:ascii="Century Gothic" w:eastAsia="Times New Roman" w:hAnsi="Century Gothic" w:cs="Arial"/>
          <w:kern w:val="0"/>
          <w:sz w:val="21"/>
          <w:szCs w:val="21"/>
          <w14:ligatures w14:val="none"/>
        </w:rPr>
        <w:t xml:space="preserve"> Na podstawie informacji zawartych w Karcie informacyjnej przedsięwzięcia oraz map ustalono, że najbliższy teren chroniony akustycznie</w:t>
      </w:r>
      <w:r>
        <w:rPr>
          <w:rFonts w:ascii="Century Gothic" w:hAnsi="Century Gothic"/>
          <w:sz w:val="21"/>
          <w:szCs w:val="21"/>
        </w:rPr>
        <w:t xml:space="preserve"> znajduje się na wschód od terenu planowanego przedsięwzięcia. Jest to teren zabudowy mieszkaniowej jednorodzinnej zlokalizowany na działce nr 113/32, za drogą, w odległości 8 m. </w:t>
      </w:r>
      <w:r>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Pr>
          <w:rFonts w:ascii="Century Gothic" w:hAnsi="Century Gothic"/>
          <w:sz w:val="21"/>
          <w:szCs w:val="21"/>
        </w:rPr>
        <w:t xml:space="preserve">Głównym źródłem hałasu związanym z funkcjonowaniem przedsięwzięcia w porze dziennej i nocnej będą przejazdy samochodów osobowych mieszkańców planowanych budynków, a także pojazdy związane z odbiorem odpadów oraz ścieków ze zbiornika bezodpływowego. Z </w:t>
      </w:r>
      <w:proofErr w:type="spellStart"/>
      <w:r>
        <w:rPr>
          <w:rFonts w:ascii="Century Gothic" w:hAnsi="Century Gothic"/>
          <w:sz w:val="21"/>
          <w:szCs w:val="21"/>
        </w:rPr>
        <w:t>k.i.p</w:t>
      </w:r>
      <w:proofErr w:type="spellEnd"/>
      <w:r>
        <w:rPr>
          <w:rFonts w:ascii="Century Gothic" w:hAnsi="Century Gothic"/>
          <w:sz w:val="21"/>
          <w:szCs w:val="21"/>
        </w:rPr>
        <w:t xml:space="preserve">. wynika, że planowane do realizacji budynki mieszkalne mogą zostać wyposażone w pompy ciepła. Określono również maksymalny poziom mocy akustycznej wynoszący dla pompy ciepła do 60 </w:t>
      </w:r>
      <w:proofErr w:type="spellStart"/>
      <w:r>
        <w:rPr>
          <w:rFonts w:ascii="Century Gothic" w:hAnsi="Century Gothic"/>
          <w:sz w:val="21"/>
          <w:szCs w:val="21"/>
        </w:rPr>
        <w:t>dB</w:t>
      </w:r>
      <w:proofErr w:type="spellEnd"/>
      <w:r>
        <w:rPr>
          <w:rFonts w:ascii="Century Gothic" w:hAnsi="Century Gothic"/>
          <w:sz w:val="21"/>
          <w:szCs w:val="21"/>
        </w:rPr>
        <w:t>. Mając na uwadze powyższe, w szczególności skalę i rodzaj planowanej zabudowy, a także lokalizację planowanego przedsięwzięcia i rozkład przestrzenny budynków, nie przewiduje się, aby ich realizacja i eksploatacja powodowała przekroczenie dopuszczalnych poziomów hałasu określonych w rozporządzeniu Ministra Środowiska z dnia 14 czerwca 2007 r. w sprawie dopuszczalnych poziomów hałasu w środowisku (Dz. U. z 2014 r. poz. 112) na granicy najbliższych terenów chronionych akustycznie.</w:t>
      </w:r>
    </w:p>
    <w:p w14:paraId="79EAB8B5" w14:textId="77777777" w:rsidR="00345A03" w:rsidRDefault="00345A03" w:rsidP="00345A03">
      <w:pPr>
        <w:spacing w:after="0" w:line="276" w:lineRule="auto"/>
        <w:ind w:left="720"/>
        <w:jc w:val="both"/>
        <w:rPr>
          <w:rFonts w:ascii="Century Gothic" w:hAnsi="Century Gothic"/>
          <w:sz w:val="21"/>
          <w:szCs w:val="21"/>
        </w:rPr>
      </w:pPr>
      <w:r>
        <w:rPr>
          <w:rFonts w:ascii="Century Gothic" w:hAnsi="Century Gothic"/>
          <w:sz w:val="21"/>
          <w:szCs w:val="21"/>
        </w:rPr>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Z przedstawionych w kip informacji wynika, że budynki mieszkalne będą ogrzewane poprzez indywidualne źródła ciepła. Moc kotła grzewczego wynosić będzie około 25 kW i będzie on zasilany paliwem stałym, ciekłym lub gazowym. Wnioskodawca nie wyklucza zastosowania pomp ciepła do ogrzewania planowanych budynków. Źródłem emisji substancji do powietrza będzie również spalanie paliw w silnikach pojazdów mieszkańców </w:t>
      </w:r>
      <w:r>
        <w:rPr>
          <w:rFonts w:ascii="Century Gothic" w:hAnsi="Century Gothic"/>
          <w:sz w:val="21"/>
          <w:szCs w:val="21"/>
        </w:rPr>
        <w:lastRenderedPageBreak/>
        <w:t>poruszających się po terenie przedsięwzięcia. Uwzględniając charakter przedsięwzięcia, jego niewielką skalę i niską moc kotłów, nie przewiduje się jego znaczącego wpływu na stan jakości powietrza w rejonie zainwestowania.</w:t>
      </w:r>
    </w:p>
    <w:p w14:paraId="3CBCDF01" w14:textId="77777777" w:rsidR="00345A03" w:rsidRDefault="00345A03" w:rsidP="00345A0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 najbliższym otoczeniu przedsięwzięcia znajdują się grunty rolne, zabudowa mieszkaniowa jednorodzinna, droga gminna oraz grunty leśne. Na podstawie informacji zawartych w </w:t>
      </w:r>
      <w:proofErr w:type="spellStart"/>
      <w:r>
        <w:rPr>
          <w:rFonts w:ascii="Century Gothic" w:hAnsi="Century Gothic"/>
          <w:sz w:val="21"/>
          <w:szCs w:val="21"/>
        </w:rPr>
        <w:t>k.i.p</w:t>
      </w:r>
      <w:proofErr w:type="spellEnd"/>
      <w:r>
        <w:rPr>
          <w:rFonts w:ascii="Century Gothic" w:hAnsi="Century Gothic"/>
          <w:sz w:val="21"/>
          <w:szCs w:val="21"/>
        </w:rPr>
        <w:t xml:space="preserve"> nie przewiduje się przekroczenia standardów jakości środowiska w związku z realizacją planowanego przedsięwzięcia. Biorąc powyższe pod uwagę oraz skalę i charakter przedmiotowego przedsięwzięcia nie przewiduje się wystąpienia powiązań z innymi przedsięwzięciami ani znaczącego kumulowania się oddziaływań planowanego przedsięwzięcia z oddziaływaniem innych przedsięwzięć</w:t>
      </w:r>
      <w:r>
        <w:t>.</w:t>
      </w:r>
    </w:p>
    <w:p w14:paraId="34C40EE4" w14:textId="77777777" w:rsidR="00345A03" w:rsidRDefault="00345A03" w:rsidP="00345A0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 Uwzględniając realizację przedsięwzięcia zgodnie z obowiązującymi przepisami i normami, nie przewiduje się wystąpienia katastrofy budowlanej ani poważnej awarii. Ze względu na położenie geograficzne przedsięwzięcie nie jest zagrożone ryzykiem katastrofy naturalnej, w szczególności w wyniku wystąpienia: trzęsień ziemi, powodzi czy osuwisk. W </w:t>
      </w:r>
      <w:proofErr w:type="spellStart"/>
      <w:r>
        <w:rPr>
          <w:rFonts w:ascii="Century Gothic" w:hAnsi="Century Gothic"/>
          <w:sz w:val="21"/>
          <w:szCs w:val="21"/>
        </w:rPr>
        <w:t>k.i.p</w:t>
      </w:r>
      <w:proofErr w:type="spellEnd"/>
      <w:r>
        <w:rPr>
          <w:rFonts w:ascii="Century Gothic" w:hAnsi="Century Gothic"/>
          <w:sz w:val="21"/>
          <w:szCs w:val="21"/>
        </w:rPr>
        <w:t>. podano, że przedmiotowy teren nie jest zagrożony okresowymi podtopieniami.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607C1F63" w14:textId="77777777" w:rsidR="00345A03" w:rsidRDefault="00345A03" w:rsidP="00345A03">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sieci wodociągowej, co zawarto w warunkach niniejszej decyzji. Ścieki bytowe będą 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pierwotnie brał pod uwagę możliwość budowy przydomowych oczyszczalni ścieków, jednak w treści uzupełninia </w:t>
      </w:r>
      <w:proofErr w:type="spellStart"/>
      <w:r>
        <w:rPr>
          <w:rFonts w:ascii="Century Gothic" w:hAnsi="Century Gothic"/>
          <w:sz w:val="21"/>
          <w:szCs w:val="21"/>
        </w:rPr>
        <w:t>k.i.p</w:t>
      </w:r>
      <w:proofErr w:type="spellEnd"/>
      <w:r>
        <w:rPr>
          <w:rFonts w:ascii="Century Gothic" w:hAnsi="Century Gothic"/>
          <w:sz w:val="21"/>
          <w:szCs w:val="21"/>
        </w:rPr>
        <w:t xml:space="preserve"> wycofał się z tego rozwiązania i poinformował, że wszystkie ścieki </w:t>
      </w:r>
      <w:proofErr w:type="spellStart"/>
      <w:r>
        <w:rPr>
          <w:rFonts w:ascii="Century Gothic" w:hAnsi="Century Gothic"/>
          <w:sz w:val="21"/>
          <w:szCs w:val="21"/>
        </w:rPr>
        <w:t>socjalno</w:t>
      </w:r>
      <w:proofErr w:type="spellEnd"/>
      <w:r>
        <w:rPr>
          <w:rFonts w:ascii="Century Gothic" w:hAnsi="Century Gothic"/>
          <w:sz w:val="21"/>
          <w:szCs w:val="21"/>
        </w:rPr>
        <w:t xml:space="preserve"> – bytowe będą kierowane do zbiorników bezodpływowych – do czasu wybudowania gminnej sieci kanalizacyjne. W związku z powyższym w niniejszej decyzji zawarto warunek, aby ścieki bytowe odprowadzać do szczelnych zbiorników bezodpływowych do czasu podłączenia do sieci kanalizacyjnej sanitarnej. W związku z eksploatacją 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w:t>
      </w:r>
    </w:p>
    <w:p w14:paraId="14CCFBA6" w14:textId="77777777" w:rsidR="00345A03" w:rsidRDefault="00345A03" w:rsidP="00345A03">
      <w:pPr>
        <w:spacing w:after="0" w:line="276" w:lineRule="auto"/>
        <w:ind w:left="720"/>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16DECB40" w14:textId="77777777" w:rsidR="00345A03" w:rsidRDefault="00345A03" w:rsidP="00345A03">
      <w:pPr>
        <w:spacing w:after="0" w:line="276" w:lineRule="auto"/>
        <w:ind w:left="720"/>
        <w:jc w:val="both"/>
        <w:rPr>
          <w:rFonts w:ascii="Century Gothic" w:hAnsi="Century Gothic" w:cs="Calibri"/>
          <w:sz w:val="21"/>
          <w:szCs w:val="21"/>
        </w:rPr>
      </w:pPr>
      <w:r>
        <w:rPr>
          <w:rFonts w:ascii="Century Gothic" w:hAnsi="Century Gothic" w:cs="Calibri"/>
          <w:sz w:val="21"/>
          <w:szCs w:val="21"/>
        </w:rPr>
        <w:t xml:space="preserve">Gospodarowanie odpadami na etapie realizacji i eksploatacji przedmiotowego przedsięwzięcia powinno odbywać się na zasadach określonych w aktualnie </w:t>
      </w:r>
      <w:r>
        <w:rPr>
          <w:rFonts w:ascii="Century Gothic" w:hAnsi="Century Gothic" w:cs="Calibri"/>
          <w:sz w:val="21"/>
          <w:szCs w:val="21"/>
        </w:rPr>
        <w:lastRenderedPageBreak/>
        <w:t xml:space="preserve">obowiązujących przepisach szczegółowych. Na etapie realizacji przedsięwzięcia powstawać będą głownie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7C2815B6" w14:textId="77777777" w:rsidR="00345A03" w:rsidRDefault="00345A03" w:rsidP="00345A03">
      <w:pPr>
        <w:spacing w:after="0" w:line="276" w:lineRule="auto"/>
        <w:ind w:left="720"/>
        <w:jc w:val="both"/>
        <w:rPr>
          <w:rFonts w:ascii="Century Gothic" w:hAnsi="Century Gothic"/>
          <w:sz w:val="21"/>
          <w:szCs w:val="21"/>
        </w:rPr>
      </w:pPr>
      <w:r>
        <w:rPr>
          <w:rFonts w:ascii="Century Gothic" w:hAnsi="Century Gothic"/>
          <w:sz w:val="21"/>
          <w:szCs w:val="21"/>
        </w:rPr>
        <w:tab/>
        <w:t>W celu ochrony środowiska gruntowo – wodnego wskazano w sentencji niniejszej decyzji, aby na terenie przedsięwzięcia nie były wykonywane naprawy i konserwacje sprzętu budowlanego. Jednocześnie wskazano, aby niezanieczyszczone gleby i inne materiały występujące w stanie naturalnym, powstające w trakcie realizacji przedsięwzięcia wykorzystać w pierwszej kolejności ponownie na terenie przedsięwzięcia.</w:t>
      </w:r>
    </w:p>
    <w:p w14:paraId="28D5E18D" w14:textId="77777777" w:rsidR="00345A03" w:rsidRDefault="00345A03" w:rsidP="00345A03">
      <w:pPr>
        <w:numPr>
          <w:ilvl w:val="0"/>
          <w:numId w:val="4"/>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działce o numerze ewidencyjnym </w:t>
      </w:r>
      <w:r>
        <w:rPr>
          <w:rFonts w:ascii="Century Gothic" w:eastAsia="Times New Roman" w:hAnsi="Century Gothic" w:cs="Calibri"/>
          <w:kern w:val="0"/>
          <w:sz w:val="21"/>
          <w:szCs w:val="21"/>
          <w14:ligatures w14:val="none"/>
        </w:rPr>
        <w:t xml:space="preserve">113/29, </w:t>
      </w:r>
      <w:r>
        <w:rPr>
          <w:rFonts w:ascii="Century Gothic" w:eastAsia="Times New Roman" w:hAnsi="Century Gothic" w:cs="Calibri"/>
          <w:kern w:val="0"/>
          <w:sz w:val="21"/>
          <w:szCs w:val="21"/>
          <w:lang w:eastAsia="pl-PL"/>
          <w14:ligatures w14:val="none"/>
        </w:rPr>
        <w:t>położonej w miejscowości Lubochnia</w:t>
      </w:r>
      <w:r>
        <w:rPr>
          <w:rFonts w:ascii="Century Gothic" w:eastAsia="Times New Roman" w:hAnsi="Century Gothic" w:cs="Calibri"/>
          <w:kern w:val="0"/>
          <w:sz w:val="21"/>
          <w:szCs w:val="21"/>
          <w14:ligatures w14:val="none"/>
        </w:rPr>
        <w:t>, Gmina Gniezno</w:t>
      </w:r>
      <w:r>
        <w:rPr>
          <w:rFonts w:ascii="Century Gothic" w:eastAsia="Times New Roman" w:hAnsi="Century Gothic" w:cs="Calibri"/>
          <w:kern w:val="0"/>
          <w:sz w:val="21"/>
          <w:szCs w:val="21"/>
          <w:lang w:eastAsia="pl-PL"/>
          <w14:ligatures w14:val="none"/>
        </w:rPr>
        <w:t>. Planowane przedsięwzięcie zlokalizowane jest na gruntach rolnych</w:t>
      </w:r>
      <w:r>
        <w:rPr>
          <w:rFonts w:ascii="Century Gothic" w:hAnsi="Century Gothic"/>
          <w:sz w:val="21"/>
          <w:szCs w:val="21"/>
        </w:rPr>
        <w:t xml:space="preserve"> o klasie bonitacyjnej gleby RVI, natomiast w najbliższym otoczeniu przedsięwzięcia znajdują się grunty rolne, droga, zabudowa mieszkaniowa jednorodzinna i grunty leśne. </w:t>
      </w:r>
    </w:p>
    <w:p w14:paraId="303AB092" w14:textId="77777777" w:rsidR="00345A03" w:rsidRDefault="00345A03" w:rsidP="00345A03">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Planowane przedsięwzięcie </w:t>
      </w:r>
      <w:r>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leśnych oraz przylegających do jezior. Na północny wschód od terenu planowanego przedsięwzięcia w odległości około 258 m znajduje się Jezioro Modrze.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56949C6A" w14:textId="77777777" w:rsidR="00345A03" w:rsidRDefault="00345A03" w:rsidP="00345A03">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sz w:val="21"/>
          <w:szCs w:val="21"/>
        </w:rPr>
        <w:t xml:space="preserve">na obszarze Natura 2000 - specjalnym obszarze ochrony siedlisk Pojezierze Gnieźnieńskie PLH300026. Ponadto przedsięwzięcie znajduje się w ponadregionalnym korytarzu ekologicznym KPnC-15C Pojezierze Żnińskie  i na obszarze ważnym dla ptaków „Jezioro </w:t>
      </w:r>
      <w:proofErr w:type="spellStart"/>
      <w:r>
        <w:rPr>
          <w:rFonts w:ascii="Century Gothic" w:hAnsi="Century Gothic"/>
          <w:sz w:val="21"/>
          <w:szCs w:val="21"/>
        </w:rPr>
        <w:t>Wierzbiczańskie</w:t>
      </w:r>
      <w:proofErr w:type="spellEnd"/>
      <w:r>
        <w:rPr>
          <w:rFonts w:ascii="Century Gothic" w:hAnsi="Century Gothic"/>
          <w:sz w:val="21"/>
          <w:szCs w:val="21"/>
        </w:rPr>
        <w:t xml:space="preserve">" wyznaczonym na podstawie opracowania przygotowanego przez Przemysława </w:t>
      </w:r>
      <w:proofErr w:type="spellStart"/>
      <w:r>
        <w:rPr>
          <w:rFonts w:ascii="Century Gothic" w:hAnsi="Century Gothic"/>
          <w:sz w:val="21"/>
          <w:szCs w:val="21"/>
        </w:rPr>
        <w:t>Wylegałę</w:t>
      </w:r>
      <w:proofErr w:type="spellEnd"/>
      <w:r>
        <w:rPr>
          <w:rFonts w:ascii="Century Gothic" w:hAnsi="Century Gothic"/>
          <w:sz w:val="21"/>
          <w:szCs w:val="21"/>
        </w:rPr>
        <w:t xml:space="preserve">, Stanisława Kuźniaka oraz Pawła T. Dolatę „Obszary ważne dla ptaków w okresie gniazdowania oraz migracji na terenie województwa wielkopolskiego” zleconego przez Wielkopolskie Biuro Planowania Przestrzennego (Poznań 2008). W </w:t>
      </w:r>
      <w:proofErr w:type="spellStart"/>
      <w:r>
        <w:rPr>
          <w:rFonts w:ascii="Century Gothic" w:hAnsi="Century Gothic"/>
          <w:sz w:val="21"/>
          <w:szCs w:val="21"/>
        </w:rPr>
        <w:t>k.i.p</w:t>
      </w:r>
      <w:proofErr w:type="spellEnd"/>
      <w:r>
        <w:rPr>
          <w:rFonts w:ascii="Century Gothic" w:hAnsi="Century Gothic"/>
          <w:sz w:val="21"/>
          <w:szCs w:val="21"/>
        </w:rPr>
        <w:t xml:space="preserve">. przedłożono wyniki obserwacji przyrodniczych przeprowadzonych 13 i 30.06.2024 r. (wykonawca: Sebastian Kaczorowski). Nie stwierdzono chronionych lub rzadkich gatunków roślin, ani rzadkich gatunków ptaków. Najbliższe siedlisko przyrodnicze będące przedmiotem ochrony obszaru Natura 2000, tj. siedlisko przyrodnicze 6410 </w:t>
      </w:r>
      <w:proofErr w:type="spellStart"/>
      <w:r>
        <w:rPr>
          <w:rFonts w:ascii="Century Gothic" w:hAnsi="Century Gothic"/>
          <w:sz w:val="21"/>
          <w:szCs w:val="21"/>
        </w:rPr>
        <w:t>Zmiennowilgotne</w:t>
      </w:r>
      <w:proofErr w:type="spellEnd"/>
      <w:r>
        <w:rPr>
          <w:rFonts w:ascii="Century Gothic" w:hAnsi="Century Gothic"/>
          <w:sz w:val="21"/>
          <w:szCs w:val="21"/>
        </w:rPr>
        <w:t xml:space="preserve"> łąki </w:t>
      </w:r>
      <w:proofErr w:type="spellStart"/>
      <w:r>
        <w:rPr>
          <w:rFonts w:ascii="Century Gothic" w:hAnsi="Century Gothic"/>
          <w:sz w:val="21"/>
          <w:szCs w:val="21"/>
        </w:rPr>
        <w:t>trzęślicowe</w:t>
      </w:r>
      <w:proofErr w:type="spellEnd"/>
      <w:r>
        <w:rPr>
          <w:rFonts w:ascii="Century Gothic" w:hAnsi="Century Gothic"/>
          <w:sz w:val="21"/>
          <w:szCs w:val="21"/>
        </w:rPr>
        <w:t xml:space="preserve"> (</w:t>
      </w:r>
      <w:proofErr w:type="spellStart"/>
      <w:r>
        <w:rPr>
          <w:rFonts w:ascii="Century Gothic" w:hAnsi="Century Gothic"/>
          <w:sz w:val="21"/>
          <w:szCs w:val="21"/>
        </w:rPr>
        <w:t>Molinion</w:t>
      </w:r>
      <w:proofErr w:type="spellEnd"/>
      <w:r>
        <w:rPr>
          <w:rFonts w:ascii="Century Gothic" w:hAnsi="Century Gothic"/>
          <w:sz w:val="21"/>
          <w:szCs w:val="21"/>
        </w:rPr>
        <w:t>) znajduje się w odległości 0,2 km w kierunku północnym. Przedsięwzięcie nie jest sprzeczne z zapisami planu zadań ochronnych obszaru Natura 2000 Pojezierze Gnieźnieńskie PLH300026.</w:t>
      </w:r>
    </w:p>
    <w:p w14:paraId="1E41845F" w14:textId="77777777" w:rsidR="00345A03" w:rsidRDefault="00345A03" w:rsidP="00345A03">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w:t>
      </w:r>
      <w:r>
        <w:rPr>
          <w:rFonts w:ascii="Century Gothic" w:eastAsia="Times New Roman" w:hAnsi="Century Gothic" w:cs="Arial"/>
          <w:kern w:val="0"/>
          <w:sz w:val="21"/>
          <w:szCs w:val="21"/>
          <w14:ligatures w14:val="none"/>
        </w:rPr>
        <w:lastRenderedPageBreak/>
        <w:t xml:space="preserve">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527FFFA3" w14:textId="77777777" w:rsidR="00345A03" w:rsidRDefault="00345A03" w:rsidP="00345A0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Jest ona monitorowana, a w odniesieniu do ryzyka nieosiągnięcia celów środowiskowych została uznana za niezagrożoną. Celem środowiskowym dla tej części wód jest dobry stan ilościowy i chemiczny.</w:t>
      </w:r>
    </w:p>
    <w:p w14:paraId="137EE2DD" w14:textId="77777777" w:rsidR="00345A03" w:rsidRDefault="00345A03" w:rsidP="00345A0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jeziornych JCWP o kodzie LW10175 – </w:t>
      </w:r>
      <w:proofErr w:type="spellStart"/>
      <w:r>
        <w:rPr>
          <w:rFonts w:ascii="Century Gothic" w:eastAsia="Times New Roman" w:hAnsi="Century Gothic" w:cs="Times New Roman"/>
          <w:kern w:val="0"/>
          <w:sz w:val="21"/>
          <w:szCs w:val="21"/>
          <w14:ligatures w14:val="none"/>
        </w:rPr>
        <w:t>Wierzbiczańskie</w:t>
      </w:r>
      <w:proofErr w:type="spellEnd"/>
      <w:r>
        <w:rPr>
          <w:rFonts w:ascii="Century Gothic" w:eastAsia="Times New Roman" w:hAnsi="Century Gothic" w:cs="Times New Roman"/>
          <w:kern w:val="0"/>
          <w:sz w:val="21"/>
          <w:szCs w:val="21"/>
          <w14:ligatures w14:val="none"/>
        </w:rPr>
        <w:t xml:space="preserve">, która jest naturalną częścią wód, monitorowaną, o aktualnym złym stanie, a zgodnie z oceną ryzyka nieosiągnięcia celu środowiskowego została określona jako zagrożona. Celem środowiskowym dla tej części wód jest dobry stan ekologiczny oraz dobry stan chemiczny. Termin osiągnięcia celu środowiskowego wyznaczono na 2027 rok oraz okres po 2027 roku, a w zakresie substancji priorytetowych wprowadzanych dyrektywą 2013/39/UE – do 2039 roku. </w:t>
      </w:r>
    </w:p>
    <w:p w14:paraId="05D1F92D" w14:textId="77777777" w:rsidR="00345A03" w:rsidRDefault="00345A03" w:rsidP="00345A03">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6350F25C" w14:textId="77777777" w:rsidR="00345A03" w:rsidRDefault="00345A03" w:rsidP="00345A03">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336EAA69" w14:textId="77777777" w:rsidR="00345A03" w:rsidRDefault="00345A03" w:rsidP="00345A03">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378C42B4" w14:textId="77777777" w:rsidR="00345A03" w:rsidRDefault="00345A03" w:rsidP="00345A0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1AE7D4F3" w14:textId="77777777" w:rsidR="00345A03" w:rsidRDefault="00345A03" w:rsidP="00345A03">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lastRenderedPageBreak/>
        <w:t xml:space="preserve">brak transgranicznego oddziaływania, </w:t>
      </w:r>
    </w:p>
    <w:p w14:paraId="4AE134C9" w14:textId="77777777" w:rsidR="00345A03" w:rsidRDefault="00345A03" w:rsidP="00345A03">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uznał, że po zrealizowaniu przez Inwestora wszystkich warunków zawartych w przedłożonych dokumentach oraz w niniejszej decyzji, planowane przedsięwzięcie  będzie 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3CB2D9F0" w14:textId="77777777" w:rsidR="00345A03" w:rsidRDefault="00345A03" w:rsidP="00345A0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9. Dla terenu (działka nr 113/29, położona w miejscowości Lubochnia), na którym ma być zlokalizowane przedsięwzięcie nie istnieje uchwalony miejscowy plan zagospodarowania przestrzennego.</w:t>
      </w:r>
    </w:p>
    <w:p w14:paraId="345F9AA3" w14:textId="77777777" w:rsidR="00345A03" w:rsidRDefault="00345A03" w:rsidP="00345A0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10.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52BC3FDF" w14:textId="77777777" w:rsidR="00345A03" w:rsidRDefault="00345A03" w:rsidP="00345A03">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11.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1AEB33FE" w14:textId="77777777" w:rsidR="00345A03" w:rsidRDefault="00345A03" w:rsidP="00345A03">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4C3652EA"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5B17CB53"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Przed upływem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3AE013B5"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4160D774"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3B3648AB"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2C8EA58F"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777225D4" w14:textId="77777777" w:rsidR="00345A03" w:rsidRDefault="00345A03" w:rsidP="00345A03">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71222FC5" w14:textId="77777777" w:rsidR="00345A03" w:rsidRDefault="00345A03" w:rsidP="00345A03">
      <w:pPr>
        <w:spacing w:after="0" w:line="276" w:lineRule="auto"/>
        <w:rPr>
          <w:rFonts w:ascii="Century Gothic" w:eastAsia="Times New Roman" w:hAnsi="Century Gothic" w:cs="Times New Roman"/>
          <w:b/>
          <w:bCs/>
          <w:kern w:val="0"/>
          <w:sz w:val="18"/>
          <w:szCs w:val="21"/>
          <w:u w:val="single"/>
          <w14:ligatures w14:val="none"/>
        </w:rPr>
      </w:pPr>
    </w:p>
    <w:p w14:paraId="478F9F36" w14:textId="77777777" w:rsidR="00345A03" w:rsidRDefault="00345A03" w:rsidP="00345A03">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6BDBC430" w14:textId="77777777" w:rsidR="00345A03" w:rsidRDefault="00345A03" w:rsidP="00345A03">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69026304" w14:textId="77777777" w:rsidR="00345A03" w:rsidRDefault="00345A03" w:rsidP="00345A03">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1B9D7AC7" w14:textId="77777777" w:rsidR="00345A03" w:rsidRDefault="00345A03" w:rsidP="00345A03">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037BF478" w14:textId="77777777" w:rsidR="00345A03" w:rsidRDefault="00345A03" w:rsidP="00345A03">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455E60B5" w14:textId="77777777" w:rsidR="00345A03" w:rsidRDefault="00345A03" w:rsidP="00345A03">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50B0D3AC" w14:textId="77777777" w:rsidR="00345A03" w:rsidRDefault="00345A03" w:rsidP="00345A03">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2AB5581C" w14:textId="77777777" w:rsidR="00345A03" w:rsidRDefault="00345A03" w:rsidP="00345A03">
      <w:pPr>
        <w:spacing w:after="0" w:line="276" w:lineRule="auto"/>
        <w:rPr>
          <w:rFonts w:ascii="Century Gothic" w:eastAsia="Times New Roman" w:hAnsi="Century Gothic" w:cs="Times New Roman"/>
          <w:b/>
          <w:kern w:val="0"/>
          <w:sz w:val="19"/>
          <w:szCs w:val="19"/>
          <w:lang w:eastAsia="pl-PL"/>
          <w14:ligatures w14:val="none"/>
        </w:rPr>
      </w:pPr>
    </w:p>
    <w:p w14:paraId="0A01EFDC" w14:textId="77777777" w:rsidR="00345A03" w:rsidRDefault="00345A03" w:rsidP="00345A03">
      <w:pPr>
        <w:spacing w:after="0" w:line="276" w:lineRule="auto"/>
        <w:jc w:val="center"/>
        <w:rPr>
          <w:rFonts w:ascii="Century Gothic" w:eastAsia="Times New Roman" w:hAnsi="Century Gothic" w:cs="Times New Roman"/>
          <w:b/>
          <w:kern w:val="0"/>
          <w:sz w:val="19"/>
          <w:szCs w:val="19"/>
          <w:lang w:eastAsia="pl-PL"/>
          <w14:ligatures w14:val="none"/>
        </w:rPr>
      </w:pPr>
    </w:p>
    <w:p w14:paraId="075B7B8E" w14:textId="77777777" w:rsidR="00345A03" w:rsidRDefault="00345A03" w:rsidP="00345A03">
      <w:pPr>
        <w:spacing w:after="0" w:line="276" w:lineRule="auto"/>
        <w:jc w:val="center"/>
        <w:rPr>
          <w:rFonts w:ascii="Century Gothic" w:eastAsia="Times New Roman" w:hAnsi="Century Gothic" w:cs="Times New Roman"/>
          <w:b/>
          <w:kern w:val="0"/>
          <w:sz w:val="19"/>
          <w:szCs w:val="19"/>
          <w:lang w:eastAsia="pl-PL"/>
          <w14:ligatures w14:val="none"/>
        </w:rPr>
      </w:pPr>
    </w:p>
    <w:p w14:paraId="5B9FA5A4" w14:textId="77777777" w:rsidR="00345A03" w:rsidRDefault="00345A03" w:rsidP="00345A03">
      <w:pPr>
        <w:spacing w:after="0" w:line="276" w:lineRule="auto"/>
        <w:jc w:val="center"/>
        <w:rPr>
          <w:rFonts w:ascii="Century Gothic" w:eastAsia="Times New Roman" w:hAnsi="Century Gothic" w:cs="Times New Roman"/>
          <w:b/>
          <w:kern w:val="0"/>
          <w:sz w:val="19"/>
          <w:szCs w:val="19"/>
          <w:lang w:eastAsia="pl-PL"/>
          <w14:ligatures w14:val="none"/>
        </w:rPr>
      </w:pPr>
      <w:r>
        <w:rPr>
          <w:rFonts w:ascii="Century Gothic" w:eastAsia="Times New Roman" w:hAnsi="Century Gothic" w:cs="Times New Roman"/>
          <w:b/>
          <w:kern w:val="0"/>
          <w:sz w:val="19"/>
          <w:szCs w:val="19"/>
          <w:lang w:eastAsia="pl-PL"/>
          <w14:ligatures w14:val="none"/>
        </w:rPr>
        <w:t xml:space="preserve">Załącznik do decyzji o środowiskowych uwarunkowaniach </w:t>
      </w:r>
      <w:r>
        <w:rPr>
          <w:rFonts w:ascii="Century Gothic" w:eastAsia="Times New Roman" w:hAnsi="Century Gothic" w:cs="Times New Roman"/>
          <w:b/>
          <w:kern w:val="0"/>
          <w:sz w:val="19"/>
          <w:szCs w:val="19"/>
          <w:lang w:eastAsia="pl-PL"/>
          <w14:ligatures w14:val="none"/>
        </w:rPr>
        <w:br/>
        <w:t>znak OŚR.6220.5.2024 z dnia 6 marca 2025 roku</w:t>
      </w:r>
    </w:p>
    <w:p w14:paraId="16A2611E" w14:textId="77777777" w:rsidR="00345A03" w:rsidRDefault="00345A03" w:rsidP="00345A03">
      <w:pPr>
        <w:spacing w:after="0" w:line="276" w:lineRule="auto"/>
        <w:rPr>
          <w:rFonts w:ascii="Century Gothic" w:eastAsia="Times New Roman" w:hAnsi="Century Gothic" w:cs="Times New Roman"/>
          <w:kern w:val="0"/>
          <w:sz w:val="21"/>
          <w:szCs w:val="21"/>
          <w:lang w:eastAsia="pl-PL"/>
          <w14:ligatures w14:val="none"/>
        </w:rPr>
      </w:pPr>
    </w:p>
    <w:p w14:paraId="6E747BE2" w14:textId="77777777" w:rsidR="00345A03" w:rsidRDefault="00345A03" w:rsidP="00345A03">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Pr>
          <w:rFonts w:ascii="Century Gothic" w:eastAsia="Times New Roman" w:hAnsi="Century Gothic" w:cs="Times New Roman"/>
          <w:b/>
          <w:bCs/>
          <w:kern w:val="0"/>
          <w:szCs w:val="21"/>
          <w:lang w:eastAsia="pl-PL"/>
          <w14:ligatures w14:val="none"/>
        </w:rPr>
        <w:t>Charakterystyka przedsięwzięcia</w:t>
      </w:r>
    </w:p>
    <w:p w14:paraId="05C191F4" w14:textId="77777777" w:rsidR="00345A03" w:rsidRDefault="00345A03" w:rsidP="00345A03">
      <w:pPr>
        <w:keepNext/>
        <w:spacing w:after="0" w:line="276" w:lineRule="auto"/>
        <w:jc w:val="center"/>
        <w:outlineLvl w:val="0"/>
        <w:rPr>
          <w:rFonts w:ascii="Century Gothic" w:eastAsia="Times New Roman" w:hAnsi="Century Gothic" w:cs="Times New Roman"/>
          <w:b/>
          <w:bCs/>
          <w:kern w:val="0"/>
          <w:szCs w:val="21"/>
          <w:lang w:eastAsia="pl-PL"/>
          <w14:ligatures w14:val="none"/>
        </w:rPr>
      </w:pPr>
    </w:p>
    <w:p w14:paraId="6E08F310" w14:textId="77777777" w:rsidR="00345A03" w:rsidRDefault="00345A03" w:rsidP="00345A03">
      <w:pPr>
        <w:spacing w:after="0" w:line="276" w:lineRule="auto"/>
        <w:ind w:firstLine="708"/>
        <w:jc w:val="both"/>
        <w:rPr>
          <w:rFonts w:ascii="Century Gothic" w:hAnsi="Century Gothic"/>
          <w:sz w:val="21"/>
          <w:szCs w:val="21"/>
        </w:rPr>
      </w:pPr>
      <w:r>
        <w:rPr>
          <w:rFonts w:ascii="Century Gothic" w:eastAsia="Times New Roman" w:hAnsi="Century Gothic" w:cs="Calibri"/>
          <w:kern w:val="0"/>
          <w:sz w:val="21"/>
          <w:szCs w:val="21"/>
          <w:lang w:eastAsia="pl-PL"/>
          <w14:ligatures w14:val="none"/>
        </w:rPr>
        <w:t>Planowane przedsięwzięcie polegać będzie</w:t>
      </w:r>
      <w:r>
        <w:rPr>
          <w:rFonts w:ascii="Century Gothic" w:eastAsia="Times New Roman" w:hAnsi="Century Gothic" w:cs="Calibri"/>
          <w:kern w:val="0"/>
          <w:sz w:val="21"/>
          <w:szCs w:val="21"/>
          <w14:ligatures w14:val="none"/>
        </w:rPr>
        <w:t xml:space="preserve"> </w:t>
      </w:r>
      <w:r>
        <w:rPr>
          <w:rFonts w:ascii="Century Gothic" w:eastAsia="Times New Roman" w:hAnsi="Century Gothic" w:cs="Arial"/>
          <w:kern w:val="0"/>
          <w:sz w:val="21"/>
          <w:szCs w:val="21"/>
          <w14:ligatures w14:val="none"/>
        </w:rPr>
        <w:t>na</w:t>
      </w:r>
      <w:r>
        <w:rPr>
          <w:rFonts w:ascii="Century Gothic" w:hAnsi="Century Gothic"/>
          <w:sz w:val="20"/>
          <w:szCs w:val="20"/>
        </w:rPr>
        <w:t xml:space="preserve"> budowie ośmiu domów jednorodzinnych w miejscowości Lubochnia, Gmina Gniezno, działka nr 113/29.</w:t>
      </w:r>
      <w:r>
        <w:rPr>
          <w:rFonts w:ascii="Century Gothic" w:hAnsi="Century Gothic"/>
          <w:sz w:val="21"/>
          <w:szCs w:val="21"/>
          <w:lang w:eastAsia="pl-PL"/>
        </w:rPr>
        <w:t xml:space="preserve"> Pod realizację przedsięwzięcia przeznaczono powierzchnię 1,1249 ha, która </w:t>
      </w:r>
      <w:r>
        <w:rPr>
          <w:rFonts w:ascii="Century Gothic" w:hAnsi="Century Gothic" w:cs="Calibri"/>
          <w:sz w:val="21"/>
          <w:szCs w:val="21"/>
          <w:lang w:eastAsia="pl-PL"/>
        </w:rPr>
        <w:t xml:space="preserve">jest równa powierzchni wskazanej działki. </w:t>
      </w:r>
      <w:r>
        <w:rPr>
          <w:rFonts w:ascii="Century Gothic" w:hAnsi="Century Gothic"/>
          <w:sz w:val="21"/>
          <w:szCs w:val="21"/>
        </w:rPr>
        <w:t xml:space="preserve">Zgodnie z informacjami przekazanymi przez wnioskodawcę w </w:t>
      </w:r>
      <w:proofErr w:type="spellStart"/>
      <w:r>
        <w:rPr>
          <w:rFonts w:ascii="Century Gothic" w:hAnsi="Century Gothic"/>
          <w:sz w:val="21"/>
          <w:szCs w:val="21"/>
        </w:rPr>
        <w:t>k.i.p</w:t>
      </w:r>
      <w:proofErr w:type="spellEnd"/>
      <w:r>
        <w:rPr>
          <w:rFonts w:ascii="Century Gothic" w:hAnsi="Century Gothic"/>
          <w:sz w:val="21"/>
          <w:szCs w:val="21"/>
        </w:rPr>
        <w:t>. teren przedmiotowego przedsięwzięcia znajduje się na gruncie stanowiącym grunty rolne o klasie bonitacyjnej gleby RVI. Obecnie teren ten wykorzystywany jest pod uprawy rolne. Na każdej z wydzielonych działek planowana jest budowa budynków mieszalnych o maksymalnie dwóch kondygnacjach nadziemnych. Inwestor planuje budowę 8 budynków mieszkalnych jednorodzinnych o maksymalnej powierzchni zabudowy do 180 rn</w:t>
      </w:r>
      <w:r>
        <w:rPr>
          <w:rFonts w:ascii="Century Gothic" w:hAnsi="Century Gothic"/>
          <w:sz w:val="21"/>
          <w:szCs w:val="21"/>
          <w:vertAlign w:val="superscript"/>
        </w:rPr>
        <w:t xml:space="preserve">2 </w:t>
      </w:r>
      <w:r>
        <w:rPr>
          <w:rFonts w:ascii="Century Gothic" w:hAnsi="Century Gothic"/>
          <w:sz w:val="21"/>
          <w:szCs w:val="21"/>
        </w:rPr>
        <w:t xml:space="preserve">każdy. W ramach przedsięwzięcia powstanie również droga dojazdowa do działek. </w:t>
      </w:r>
    </w:p>
    <w:p w14:paraId="68619A35" w14:textId="77777777" w:rsidR="00345A03" w:rsidRDefault="00345A03" w:rsidP="00345A03">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0365C497" w14:textId="77777777" w:rsidR="00345A03" w:rsidRDefault="00345A03" w:rsidP="00345A03">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72338675" w14:textId="77777777" w:rsidR="00345A03" w:rsidRDefault="00345A03" w:rsidP="00345A03">
      <w:pPr>
        <w:autoSpaceDE w:val="0"/>
        <w:autoSpaceDN w:val="0"/>
        <w:adjustRightInd w:val="0"/>
        <w:spacing w:after="0" w:line="276" w:lineRule="auto"/>
        <w:ind w:firstLine="708"/>
        <w:jc w:val="both"/>
        <w:rPr>
          <w:rFonts w:ascii="Century Gothic" w:hAnsi="Century Gothic" w:cs="Helvetica"/>
          <w:kern w:val="0"/>
          <w:sz w:val="21"/>
          <w:szCs w:val="21"/>
        </w:rPr>
      </w:pPr>
      <w:r>
        <w:rPr>
          <w:rFonts w:ascii="Century Gothic" w:hAnsi="Century Gothic"/>
          <w:sz w:val="21"/>
          <w:szCs w:val="21"/>
        </w:rPr>
        <w:t xml:space="preserve">Przedsięwzięcie zostanie zlokalizowane na obszarze Natura 2000 - specjalnym obszarze ochrony siedlisk Pojezierze Gnieźnieńskie PLH300026. Podczas realizacji przedsięwzięcia nie przewiduje się wycinki drzew i krzewów. </w:t>
      </w:r>
    </w:p>
    <w:p w14:paraId="3DBA19C9" w14:textId="77777777" w:rsidR="00345A03" w:rsidRDefault="00345A03" w:rsidP="00345A03">
      <w:pPr>
        <w:shd w:val="clear" w:color="auto" w:fill="FFFFFF"/>
        <w:spacing w:line="278" w:lineRule="exact"/>
        <w:jc w:val="center"/>
        <w:rPr>
          <w:rFonts w:ascii="Century Gothic" w:eastAsia="Times New Roman" w:hAnsi="Century Gothic" w:cs="Calibri"/>
          <w:b/>
          <w:kern w:val="0"/>
          <w:sz w:val="21"/>
          <w:szCs w:val="21"/>
          <w14:ligatures w14:val="none"/>
        </w:rPr>
      </w:pPr>
    </w:p>
    <w:p w14:paraId="59B0813B" w14:textId="77777777" w:rsidR="00EE1F09" w:rsidRDefault="00EE1F09"/>
    <w:sectPr w:rsidR="00EE1F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3444346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048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2103438">
    <w:abstractNumId w:val="0"/>
    <w:lvlOverride w:ilvl="0"/>
    <w:lvlOverride w:ilvl="1"/>
    <w:lvlOverride w:ilvl="2"/>
    <w:lvlOverride w:ilvl="3"/>
    <w:lvlOverride w:ilvl="4"/>
    <w:lvlOverride w:ilvl="5"/>
    <w:lvlOverride w:ilvl="6"/>
    <w:lvlOverride w:ilvl="7"/>
    <w:lvlOverride w:ilvl="8"/>
  </w:num>
  <w:num w:numId="4" w16cid:durableId="14926726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8713896">
    <w:abstractNumId w:val="2"/>
    <w:lvlOverride w:ilvl="0"/>
    <w:lvlOverride w:ilvl="1"/>
    <w:lvlOverride w:ilvl="2"/>
    <w:lvlOverride w:ilvl="3"/>
    <w:lvlOverride w:ilvl="4"/>
    <w:lvlOverride w:ilvl="5"/>
    <w:lvlOverride w:ilvl="6"/>
    <w:lvlOverride w:ilvl="7"/>
    <w:lvlOverride w:ilvl="8"/>
  </w:num>
  <w:num w:numId="6" w16cid:durableId="2103067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04568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61965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A03"/>
    <w:rsid w:val="00345A03"/>
    <w:rsid w:val="009B0F35"/>
    <w:rsid w:val="00CE7316"/>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FC8E"/>
  <w15:chartTrackingRefBased/>
  <w15:docId w15:val="{691FEA1B-98C2-4649-867A-C864F842E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5A03"/>
    <w:pPr>
      <w:spacing w:line="252" w:lineRule="auto"/>
    </w:pPr>
  </w:style>
  <w:style w:type="paragraph" w:styleId="Nagwek1">
    <w:name w:val="heading 1"/>
    <w:basedOn w:val="Normalny"/>
    <w:next w:val="Normalny"/>
    <w:link w:val="Nagwek1Znak"/>
    <w:uiPriority w:val="9"/>
    <w:qFormat/>
    <w:rsid w:val="00345A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45A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45A03"/>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45A03"/>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45A03"/>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45A0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45A0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45A0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45A0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45A03"/>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45A03"/>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45A03"/>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45A03"/>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45A03"/>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45A0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45A0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45A0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45A03"/>
    <w:rPr>
      <w:rFonts w:eastAsiaTheme="majorEastAsia" w:cstheme="majorBidi"/>
      <w:color w:val="272727" w:themeColor="text1" w:themeTint="D8"/>
    </w:rPr>
  </w:style>
  <w:style w:type="paragraph" w:styleId="Tytu">
    <w:name w:val="Title"/>
    <w:basedOn w:val="Normalny"/>
    <w:next w:val="Normalny"/>
    <w:link w:val="TytuZnak"/>
    <w:uiPriority w:val="10"/>
    <w:qFormat/>
    <w:rsid w:val="00345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45A0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45A0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45A0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45A03"/>
    <w:pPr>
      <w:spacing w:before="160"/>
      <w:jc w:val="center"/>
    </w:pPr>
    <w:rPr>
      <w:i/>
      <w:iCs/>
      <w:color w:val="404040" w:themeColor="text1" w:themeTint="BF"/>
    </w:rPr>
  </w:style>
  <w:style w:type="character" w:customStyle="1" w:styleId="CytatZnak">
    <w:name w:val="Cytat Znak"/>
    <w:basedOn w:val="Domylnaczcionkaakapitu"/>
    <w:link w:val="Cytat"/>
    <w:uiPriority w:val="29"/>
    <w:rsid w:val="00345A03"/>
    <w:rPr>
      <w:i/>
      <w:iCs/>
      <w:color w:val="404040" w:themeColor="text1" w:themeTint="BF"/>
    </w:rPr>
  </w:style>
  <w:style w:type="paragraph" w:styleId="Akapitzlist">
    <w:name w:val="List Paragraph"/>
    <w:basedOn w:val="Normalny"/>
    <w:uiPriority w:val="99"/>
    <w:qFormat/>
    <w:rsid w:val="00345A03"/>
    <w:pPr>
      <w:ind w:left="720"/>
      <w:contextualSpacing/>
    </w:pPr>
  </w:style>
  <w:style w:type="character" w:styleId="Wyrnienieintensywne">
    <w:name w:val="Intense Emphasis"/>
    <w:basedOn w:val="Domylnaczcionkaakapitu"/>
    <w:uiPriority w:val="21"/>
    <w:qFormat/>
    <w:rsid w:val="00345A03"/>
    <w:rPr>
      <w:i/>
      <w:iCs/>
      <w:color w:val="2F5496" w:themeColor="accent1" w:themeShade="BF"/>
    </w:rPr>
  </w:style>
  <w:style w:type="paragraph" w:styleId="Cytatintensywny">
    <w:name w:val="Intense Quote"/>
    <w:basedOn w:val="Normalny"/>
    <w:next w:val="Normalny"/>
    <w:link w:val="CytatintensywnyZnak"/>
    <w:uiPriority w:val="30"/>
    <w:qFormat/>
    <w:rsid w:val="00345A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45A03"/>
    <w:rPr>
      <w:i/>
      <w:iCs/>
      <w:color w:val="2F5496" w:themeColor="accent1" w:themeShade="BF"/>
    </w:rPr>
  </w:style>
  <w:style w:type="character" w:styleId="Odwoanieintensywne">
    <w:name w:val="Intense Reference"/>
    <w:basedOn w:val="Domylnaczcionkaakapitu"/>
    <w:uiPriority w:val="32"/>
    <w:qFormat/>
    <w:rsid w:val="00345A03"/>
    <w:rPr>
      <w:b/>
      <w:bCs/>
      <w:smallCaps/>
      <w:color w:val="2F5496" w:themeColor="accent1" w:themeShade="BF"/>
      <w:spacing w:val="5"/>
    </w:rPr>
  </w:style>
  <w:style w:type="paragraph" w:styleId="Tekstpodstawowy3">
    <w:name w:val="Body Text 3"/>
    <w:basedOn w:val="Normalny"/>
    <w:link w:val="Tekstpodstawowy3Znak"/>
    <w:semiHidden/>
    <w:unhideWhenUsed/>
    <w:rsid w:val="00345A03"/>
    <w:pPr>
      <w:spacing w:after="120" w:line="240" w:lineRule="auto"/>
    </w:pPr>
    <w:rPr>
      <w:rFonts w:ascii="Calibri" w:eastAsia="Calibri" w:hAnsi="Calibri"/>
      <w:sz w:val="16"/>
      <w:szCs w:val="16"/>
    </w:rPr>
  </w:style>
  <w:style w:type="character" w:customStyle="1" w:styleId="Tekstpodstawowy3Znak">
    <w:name w:val="Tekst podstawowy 3 Znak"/>
    <w:basedOn w:val="Domylnaczcionkaakapitu"/>
    <w:link w:val="Tekstpodstawowy3"/>
    <w:semiHidden/>
    <w:rsid w:val="00345A03"/>
    <w:rPr>
      <w:rFonts w:ascii="Calibri" w:eastAsia="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09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3932</Words>
  <Characters>23595</Characters>
  <Application>Microsoft Office Word</Application>
  <DocSecurity>0</DocSecurity>
  <Lines>196</Lines>
  <Paragraphs>54</Paragraphs>
  <ScaleCrop>false</ScaleCrop>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1</cp:revision>
  <dcterms:created xsi:type="dcterms:W3CDTF">2025-03-06T06:22:00Z</dcterms:created>
  <dcterms:modified xsi:type="dcterms:W3CDTF">2025-03-06T06:23:00Z</dcterms:modified>
</cp:coreProperties>
</file>