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4E97D" w14:textId="77777777" w:rsidR="00EA7EF3" w:rsidRPr="00C62B76" w:rsidRDefault="00EA7EF3" w:rsidP="00EA7EF3">
      <w:pPr>
        <w:keepNext/>
        <w:keepLines/>
        <w:spacing w:before="40" w:after="0" w:line="276" w:lineRule="auto"/>
        <w:jc w:val="right"/>
        <w:outlineLvl w:val="4"/>
        <w:rPr>
          <w:rFonts w:ascii="Century Gothic" w:eastAsia="Times New Roman" w:hAnsi="Century Gothic" w:cs="Times New Roman"/>
          <w:kern w:val="0"/>
          <w:sz w:val="21"/>
          <w:szCs w:val="21"/>
          <w:lang w:eastAsia="pl-PL"/>
          <w14:ligatures w14:val="none"/>
        </w:rPr>
      </w:pPr>
      <w:r w:rsidRPr="00C62B76">
        <w:rPr>
          <w:rFonts w:ascii="Century Gothic" w:eastAsia="Times New Roman" w:hAnsi="Century Gothic" w:cs="Times New Roman"/>
          <w:kern w:val="0"/>
          <w:sz w:val="21"/>
          <w:szCs w:val="21"/>
          <w:lang w:eastAsia="pl-PL"/>
          <w14:ligatures w14:val="none"/>
        </w:rPr>
        <w:t>Gniezno, dnia 10 czerwca 2025 r.</w:t>
      </w:r>
    </w:p>
    <w:p w14:paraId="49EE33BB" w14:textId="77777777" w:rsidR="00EA7EF3" w:rsidRPr="00C62B76" w:rsidRDefault="00EA7EF3" w:rsidP="00EA7EF3">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sidRPr="00C62B76">
        <w:rPr>
          <w:rFonts w:ascii="Century Gothic" w:eastAsia="Times New Roman" w:hAnsi="Century Gothic" w:cs="Times New Roman"/>
          <w:kern w:val="0"/>
          <w:sz w:val="21"/>
          <w:szCs w:val="21"/>
          <w:lang w:eastAsia="pl-PL"/>
          <w14:ligatures w14:val="none"/>
        </w:rPr>
        <w:t>OŚR. 6220.1.2025</w:t>
      </w:r>
    </w:p>
    <w:p w14:paraId="5243662C" w14:textId="77777777" w:rsidR="00EA7EF3" w:rsidRPr="00C62B76" w:rsidRDefault="00EA7EF3" w:rsidP="00EA7EF3">
      <w:pPr>
        <w:tabs>
          <w:tab w:val="left" w:pos="426"/>
        </w:tabs>
        <w:spacing w:line="276" w:lineRule="auto"/>
        <w:jc w:val="center"/>
        <w:rPr>
          <w:rFonts w:ascii="Century Gothic" w:eastAsia="Times New Roman" w:hAnsi="Century Gothic" w:cs="Times New Roman"/>
          <w:b/>
          <w:kern w:val="0"/>
          <w:sz w:val="21"/>
          <w:szCs w:val="21"/>
          <w:u w:val="single"/>
          <w14:ligatures w14:val="none"/>
        </w:rPr>
      </w:pPr>
      <w:r w:rsidRPr="00C62B76">
        <w:rPr>
          <w:rFonts w:ascii="Century Gothic" w:eastAsia="Times New Roman" w:hAnsi="Century Gothic" w:cs="Times New Roman"/>
          <w:b/>
          <w:kern w:val="0"/>
          <w:sz w:val="21"/>
          <w:szCs w:val="21"/>
          <w:u w:val="single"/>
          <w14:ligatures w14:val="none"/>
        </w:rPr>
        <w:t>OBWIESZCZENIE</w:t>
      </w:r>
    </w:p>
    <w:p w14:paraId="7EB38CA2" w14:textId="77777777" w:rsidR="00EA7EF3" w:rsidRPr="00C62B76" w:rsidRDefault="00EA7EF3" w:rsidP="00EA7EF3">
      <w:pPr>
        <w:spacing w:after="0" w:line="276" w:lineRule="auto"/>
        <w:jc w:val="both"/>
        <w:rPr>
          <w:rFonts w:ascii="Century Gothic" w:eastAsia="Times New Roman" w:hAnsi="Century Gothic" w:cs="Calibri"/>
          <w:b/>
          <w:bCs/>
          <w:kern w:val="0"/>
          <w:sz w:val="21"/>
          <w:szCs w:val="21"/>
          <w14:ligatures w14:val="none"/>
        </w:rPr>
      </w:pPr>
      <w:r w:rsidRPr="00C62B76">
        <w:rPr>
          <w:rFonts w:ascii="Century Gothic" w:eastAsia="Times New Roman" w:hAnsi="Century Gothic" w:cs="Calibri"/>
          <w:kern w:val="0"/>
          <w:sz w:val="21"/>
          <w:szCs w:val="21"/>
          <w14:ligatures w14:val="none"/>
        </w:rPr>
        <w:t xml:space="preserve">Na podstawie art. 49 ustawy z dnia 14 czerwca 1960 r. </w:t>
      </w:r>
      <w:r w:rsidRPr="00C62B76">
        <w:rPr>
          <w:rFonts w:ascii="Century Gothic" w:eastAsia="Times New Roman" w:hAnsi="Century Gothic" w:cs="Calibri"/>
          <w:i/>
          <w:kern w:val="0"/>
          <w:sz w:val="21"/>
          <w:szCs w:val="21"/>
          <w14:ligatures w14:val="none"/>
        </w:rPr>
        <w:t xml:space="preserve">kodeks postępowania administracyjnego </w:t>
      </w:r>
      <w:r w:rsidRPr="00C62B76">
        <w:rPr>
          <w:rFonts w:ascii="Century Gothic" w:eastAsia="Times New Roman" w:hAnsi="Century Gothic" w:cs="Calibri"/>
          <w:kern w:val="0"/>
          <w:sz w:val="21"/>
          <w:szCs w:val="21"/>
          <w14:ligatures w14:val="none"/>
        </w:rPr>
        <w:t xml:space="preserve">/Dz. U. 2024 r., poz. 572/, w związku z art. 74 ust. 3 ustawy </w:t>
      </w:r>
      <w:r w:rsidRPr="00C62B76">
        <w:rPr>
          <w:rFonts w:ascii="Century Gothic" w:eastAsia="Times New Roman" w:hAnsi="Century Gothic" w:cs="Calibri"/>
          <w:kern w:val="0"/>
          <w:sz w:val="21"/>
          <w:szCs w:val="21"/>
          <w14:ligatures w14:val="none"/>
        </w:rPr>
        <w:br/>
        <w:t xml:space="preserve">z dnia 3 października </w:t>
      </w:r>
      <w:r w:rsidRPr="00C62B76">
        <w:rPr>
          <w:rFonts w:ascii="Century Gothic" w:eastAsia="Times New Roman" w:hAnsi="Century Gothic" w:cs="Calibri"/>
          <w:bCs/>
          <w:kern w:val="0"/>
          <w:sz w:val="21"/>
          <w:szCs w:val="21"/>
          <w14:ligatures w14:val="none"/>
        </w:rPr>
        <w:t xml:space="preserve">2008 r. </w:t>
      </w:r>
      <w:r w:rsidRPr="00C62B76">
        <w:rPr>
          <w:rFonts w:ascii="Century Gothic" w:eastAsia="Times New Roman" w:hAnsi="Century Gothic" w:cs="Calibri"/>
          <w:bCs/>
          <w:i/>
          <w:kern w:val="0"/>
          <w:sz w:val="21"/>
          <w:szCs w:val="21"/>
          <w14:ligatures w14:val="none"/>
        </w:rPr>
        <w:t>o udostępnianiu informacji o środowisku i jego ochronie, udziale społeczeństwa w ochronie środowiska oraz o ocenach oddziaływania na środowisko</w:t>
      </w:r>
      <w:r w:rsidRPr="00C62B76">
        <w:rPr>
          <w:rFonts w:ascii="Century Gothic" w:eastAsia="Times New Roman" w:hAnsi="Century Gothic" w:cs="Calibri"/>
          <w:bCs/>
          <w:kern w:val="0"/>
          <w:sz w:val="21"/>
          <w:szCs w:val="21"/>
          <w14:ligatures w14:val="none"/>
        </w:rPr>
        <w:t xml:space="preserve"> </w:t>
      </w:r>
      <w:r w:rsidRPr="00C62B76">
        <w:rPr>
          <w:rFonts w:ascii="Century Gothic" w:eastAsia="Times New Roman" w:hAnsi="Century Gothic" w:cs="Calibri"/>
          <w:kern w:val="0"/>
          <w:sz w:val="21"/>
          <w:szCs w:val="21"/>
          <w14:ligatures w14:val="none"/>
        </w:rPr>
        <w:t xml:space="preserve">/Dz. U. z 2024 r., poz. 1112/ </w:t>
      </w:r>
      <w:r w:rsidRPr="00C62B76">
        <w:rPr>
          <w:rFonts w:ascii="Century Gothic" w:eastAsia="Times New Roman" w:hAnsi="Century Gothic" w:cs="Calibri"/>
          <w:b/>
          <w:kern w:val="0"/>
          <w:sz w:val="21"/>
          <w:szCs w:val="21"/>
          <w14:ligatures w14:val="none"/>
        </w:rPr>
        <w:t xml:space="preserve">Wójt Gminy Gniezno </w:t>
      </w:r>
      <w:r w:rsidRPr="00C62B76">
        <w:rPr>
          <w:rFonts w:ascii="Century Gothic" w:eastAsia="Times New Roman" w:hAnsi="Century Gothic" w:cs="Calibri"/>
          <w:bCs/>
          <w:kern w:val="0"/>
          <w:sz w:val="21"/>
          <w:szCs w:val="21"/>
          <w14:ligatures w14:val="none"/>
        </w:rPr>
        <w:t>zawiadamia</w:t>
      </w:r>
      <w:r w:rsidRPr="00C62B76">
        <w:rPr>
          <w:rFonts w:ascii="Century Gothic" w:eastAsia="Times New Roman" w:hAnsi="Century Gothic" w:cs="Calibri"/>
          <w:b/>
          <w:bCs/>
          <w:kern w:val="0"/>
          <w:sz w:val="21"/>
          <w:szCs w:val="21"/>
          <w14:ligatures w14:val="none"/>
        </w:rPr>
        <w:t xml:space="preserve"> </w:t>
      </w:r>
      <w:r w:rsidRPr="00C62B76">
        <w:rPr>
          <w:rFonts w:ascii="Century Gothic" w:eastAsia="Times New Roman" w:hAnsi="Century Gothic" w:cs="Calibri"/>
          <w:bCs/>
          <w:kern w:val="0"/>
          <w:sz w:val="21"/>
          <w:szCs w:val="21"/>
          <w14:ligatures w14:val="none"/>
        </w:rPr>
        <w:t>strony postępowania administracyjnego o wydanej</w:t>
      </w:r>
      <w:r w:rsidRPr="00C62B76">
        <w:rPr>
          <w:rFonts w:ascii="Century Gothic" w:eastAsia="Times New Roman" w:hAnsi="Century Gothic" w:cs="Calibri"/>
          <w:kern w:val="0"/>
          <w:sz w:val="21"/>
          <w:szCs w:val="21"/>
          <w14:ligatures w14:val="none"/>
        </w:rPr>
        <w:t xml:space="preserve"> dnia 10 czerwca 2025 r. decyzji </w:t>
      </w:r>
      <w:r w:rsidRPr="00C62B76">
        <w:rPr>
          <w:rFonts w:ascii="Century Gothic" w:eastAsia="Times New Roman" w:hAnsi="Century Gothic" w:cs="Calibri"/>
          <w:kern w:val="0"/>
          <w:sz w:val="21"/>
          <w:szCs w:val="21"/>
          <w14:ligatures w14:val="none"/>
        </w:rPr>
        <w:br/>
        <w:t>o środowiskowych uwarunkowaniach</w:t>
      </w:r>
      <w:r w:rsidRPr="00C62B76">
        <w:rPr>
          <w:rFonts w:ascii="Century Gothic" w:eastAsia="Times New Roman" w:hAnsi="Century Gothic" w:cs="Calibri"/>
          <w:b/>
          <w:kern w:val="0"/>
          <w:sz w:val="21"/>
          <w:szCs w:val="21"/>
          <w14:ligatures w14:val="none"/>
        </w:rPr>
        <w:t xml:space="preserve"> </w:t>
      </w:r>
      <w:r w:rsidRPr="00C62B76">
        <w:rPr>
          <w:rFonts w:ascii="Century Gothic" w:eastAsia="Times New Roman" w:hAnsi="Century Gothic" w:cs="Calibri"/>
          <w:kern w:val="0"/>
          <w:sz w:val="21"/>
          <w:szCs w:val="21"/>
          <w14:ligatures w14:val="none"/>
        </w:rPr>
        <w:t>dla przedsięwzięcia polegającego na</w:t>
      </w:r>
      <w:bookmarkStart w:id="0" w:name="_Hlk75772086"/>
      <w:r w:rsidRPr="00C62B76">
        <w:rPr>
          <w:rFonts w:ascii="Century Gothic" w:hAnsi="Century Gothic"/>
          <w:b/>
          <w:sz w:val="21"/>
          <w:szCs w:val="21"/>
        </w:rPr>
        <w:t xml:space="preserve"> budowie zespołu budynków mieszkalnych jednorodzinnych wraz z towarzyszącą infrastrukturą techniczną w miejscowości Kalina, Gmina Gniezno, działki nr 16/1, 16/2, 16/3, 16/4, 16/5, 16/6, 16/7, 16/8, 16/9 i 16/10</w:t>
      </w:r>
      <w:r w:rsidRPr="00C62B76">
        <w:rPr>
          <w:rFonts w:ascii="Century Gothic" w:eastAsia="Times New Roman" w:hAnsi="Century Gothic" w:cs="Calibri"/>
          <w:kern w:val="0"/>
          <w:sz w:val="21"/>
          <w:szCs w:val="21"/>
          <w14:ligatures w14:val="none"/>
        </w:rPr>
        <w:t>,</w:t>
      </w:r>
      <w:r w:rsidRPr="00C62B76">
        <w:rPr>
          <w:rFonts w:ascii="Century Gothic" w:eastAsia="Times New Roman" w:hAnsi="Century Gothic" w:cs="Calibri"/>
          <w:b/>
          <w:kern w:val="0"/>
          <w:sz w:val="21"/>
          <w:szCs w:val="21"/>
          <w14:ligatures w14:val="none"/>
        </w:rPr>
        <w:t xml:space="preserve"> </w:t>
      </w:r>
      <w:bookmarkEnd w:id="0"/>
      <w:r w:rsidRPr="00C62B76">
        <w:rPr>
          <w:rFonts w:ascii="Century Gothic" w:eastAsia="Times New Roman" w:hAnsi="Century Gothic" w:cs="Calibri"/>
          <w:bCs/>
          <w:kern w:val="0"/>
          <w:sz w:val="21"/>
          <w:szCs w:val="21"/>
          <w14:ligatures w14:val="none"/>
        </w:rPr>
        <w:t>której treść podaje poniżej.</w:t>
      </w:r>
      <w:r w:rsidRPr="00C62B76">
        <w:rPr>
          <w:rFonts w:ascii="Century Gothic" w:eastAsia="Times New Roman" w:hAnsi="Century Gothic" w:cs="Calibri"/>
          <w:b/>
          <w:bCs/>
          <w:kern w:val="0"/>
          <w:sz w:val="21"/>
          <w:szCs w:val="21"/>
          <w14:ligatures w14:val="none"/>
        </w:rPr>
        <w:t xml:space="preserve"> </w:t>
      </w:r>
    </w:p>
    <w:p w14:paraId="49271D36" w14:textId="77777777" w:rsidR="00EA7EF3" w:rsidRPr="00C62B76" w:rsidRDefault="00EA7EF3" w:rsidP="00EA7EF3">
      <w:pPr>
        <w:spacing w:after="0" w:line="276" w:lineRule="auto"/>
        <w:jc w:val="both"/>
        <w:rPr>
          <w:rFonts w:ascii="Century Gothic" w:eastAsia="Times New Roman" w:hAnsi="Century Gothic" w:cs="Times New Roman"/>
          <w:b/>
          <w:bCs/>
          <w:kern w:val="0"/>
          <w:sz w:val="21"/>
          <w:szCs w:val="21"/>
          <w14:ligatures w14:val="none"/>
        </w:rPr>
      </w:pPr>
    </w:p>
    <w:p w14:paraId="7C986BEB" w14:textId="77777777" w:rsidR="00EA7EF3" w:rsidRPr="00C62B76" w:rsidRDefault="00EA7EF3" w:rsidP="00EA7EF3">
      <w:pPr>
        <w:spacing w:after="120" w:line="276" w:lineRule="auto"/>
        <w:ind w:left="283"/>
        <w:jc w:val="both"/>
        <w:rPr>
          <w:rFonts w:ascii="Century Gothic" w:eastAsia="Times New Roman" w:hAnsi="Century Gothic" w:cs="Times New Roman"/>
          <w:b/>
          <w:kern w:val="0"/>
          <w:sz w:val="16"/>
          <w:szCs w:val="16"/>
          <w:lang w:eastAsia="pl-PL"/>
          <w14:ligatures w14:val="none"/>
        </w:rPr>
      </w:pPr>
      <w:r w:rsidRPr="00C62B76">
        <w:rPr>
          <w:rFonts w:ascii="Century Gothic" w:eastAsia="Times New Roman" w:hAnsi="Century Gothic" w:cs="Times New Roman"/>
          <w:b/>
          <w:kern w:val="0"/>
          <w:sz w:val="16"/>
          <w:szCs w:val="16"/>
          <w:u w:val="single"/>
          <w:lang w:eastAsia="pl-PL"/>
          <w14:ligatures w14:val="none"/>
        </w:rPr>
        <w:t>Uwaga</w:t>
      </w:r>
      <w:r w:rsidRPr="00C62B76">
        <w:rPr>
          <w:rFonts w:ascii="Century Gothic" w:eastAsia="Times New Roman" w:hAnsi="Century Gothic" w:cs="Times New Roman"/>
          <w:b/>
          <w:kern w:val="0"/>
          <w:sz w:val="16"/>
          <w:szCs w:val="16"/>
          <w:lang w:eastAsia="pl-PL"/>
          <w14:ligatures w14:val="none"/>
        </w:rPr>
        <w:t>:</w:t>
      </w:r>
    </w:p>
    <w:p w14:paraId="7E710543" w14:textId="77777777" w:rsidR="00EA7EF3" w:rsidRPr="00C62B76" w:rsidRDefault="00EA7EF3" w:rsidP="00EA7EF3">
      <w:pPr>
        <w:spacing w:after="120" w:line="276" w:lineRule="auto"/>
        <w:jc w:val="both"/>
        <w:rPr>
          <w:rFonts w:ascii="Century Gothic" w:eastAsia="Times New Roman" w:hAnsi="Century Gothic" w:cs="Times New Roman"/>
          <w:kern w:val="0"/>
          <w:sz w:val="16"/>
          <w:szCs w:val="16"/>
          <w:lang w:eastAsia="pl-PL"/>
          <w14:ligatures w14:val="none"/>
        </w:rPr>
      </w:pPr>
      <w:r w:rsidRPr="00C62B76">
        <w:rPr>
          <w:rFonts w:ascii="Century Gothic" w:eastAsia="Times New Roman" w:hAnsi="Century Gothic" w:cs="Times New Roman"/>
          <w:kern w:val="0"/>
          <w:sz w:val="16"/>
          <w:szCs w:val="16"/>
          <w:lang w:eastAsia="pl-PL"/>
          <w14:ligatures w14:val="none"/>
        </w:rPr>
        <w:tab/>
        <w:t xml:space="preserve">Ponieważ w powyższej sprawie liczba stron postępowania przekracza 10, zgodnie z art. 74 ust. 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sidRPr="00C62B76">
        <w:rPr>
          <w:rFonts w:ascii="Century Gothic" w:eastAsia="Times New Roman" w:hAnsi="Century Gothic" w:cs="Times New Roman"/>
          <w:b/>
          <w:bCs/>
          <w:kern w:val="0"/>
          <w:sz w:val="16"/>
          <w:szCs w:val="16"/>
          <w:lang w:eastAsia="pl-PL"/>
          <w14:ligatures w14:val="none"/>
        </w:rPr>
        <w:t>11 czerwca 2025 roku</w:t>
      </w:r>
      <w:r w:rsidRPr="00C62B76">
        <w:rPr>
          <w:rFonts w:ascii="Century Gothic" w:eastAsia="Times New Roman" w:hAnsi="Century Gothic" w:cs="Times New Roman"/>
          <w:kern w:val="0"/>
          <w:sz w:val="16"/>
          <w:szCs w:val="16"/>
          <w:lang w:eastAsia="pl-PL"/>
          <w14:ligatures w14:val="none"/>
        </w:rPr>
        <w:t>.</w:t>
      </w:r>
    </w:p>
    <w:p w14:paraId="50E3D4F3" w14:textId="77777777" w:rsidR="00EA7EF3" w:rsidRPr="00C62B76" w:rsidRDefault="00EA7EF3" w:rsidP="00EA7EF3">
      <w:pPr>
        <w:tabs>
          <w:tab w:val="left" w:pos="720"/>
          <w:tab w:val="left" w:pos="1080"/>
          <w:tab w:val="left" w:pos="1260"/>
          <w:tab w:val="left" w:pos="2340"/>
        </w:tabs>
        <w:spacing w:after="0" w:line="276" w:lineRule="auto"/>
        <w:rPr>
          <w:rFonts w:ascii="Century Gothic" w:eastAsia="Times New Roman" w:hAnsi="Century Gothic" w:cs="Times New Roman"/>
          <w:kern w:val="0"/>
          <w:sz w:val="21"/>
          <w:szCs w:val="21"/>
          <w:lang w:eastAsia="pl-PL"/>
          <w14:ligatures w14:val="none"/>
        </w:rPr>
      </w:pPr>
    </w:p>
    <w:p w14:paraId="4F6D409F" w14:textId="77777777" w:rsidR="00EA7EF3" w:rsidRPr="00C62B76" w:rsidRDefault="00EA7EF3" w:rsidP="00EA7EF3">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r w:rsidRPr="00C62B76">
        <w:rPr>
          <w:rFonts w:ascii="Century Gothic" w:eastAsia="Times New Roman" w:hAnsi="Century Gothic" w:cs="Times New Roman"/>
          <w:kern w:val="0"/>
          <w:sz w:val="21"/>
          <w:szCs w:val="21"/>
          <w:lang w:eastAsia="pl-PL"/>
          <w14:ligatures w14:val="none"/>
        </w:rPr>
        <w:t>Gniezno, dnia 10 czerwca 2025 r.</w:t>
      </w:r>
    </w:p>
    <w:p w14:paraId="2D550581" w14:textId="77777777" w:rsidR="00EA7EF3" w:rsidRPr="00C62B76" w:rsidRDefault="00EA7EF3" w:rsidP="00EA7EF3">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sidRPr="00C62B76">
        <w:rPr>
          <w:rFonts w:ascii="Century Gothic" w:eastAsia="Times New Roman" w:hAnsi="Century Gothic" w:cs="Times New Roman"/>
          <w:kern w:val="0"/>
          <w:sz w:val="21"/>
          <w:szCs w:val="21"/>
          <w:lang w:eastAsia="pl-PL"/>
          <w14:ligatures w14:val="none"/>
        </w:rPr>
        <w:t>OŚR. 6220.1.2025</w:t>
      </w:r>
    </w:p>
    <w:p w14:paraId="31C0F55D" w14:textId="77777777" w:rsidR="00EA7EF3" w:rsidRPr="00C62B76" w:rsidRDefault="00EA7EF3" w:rsidP="00EA7EF3">
      <w:pPr>
        <w:keepNext/>
        <w:spacing w:after="0" w:line="276" w:lineRule="auto"/>
        <w:jc w:val="center"/>
        <w:outlineLvl w:val="0"/>
        <w:rPr>
          <w:rFonts w:ascii="Century Gothic" w:eastAsia="Times New Roman" w:hAnsi="Century Gothic" w:cs="Times New Roman"/>
          <w:b/>
          <w:bCs/>
          <w:kern w:val="0"/>
          <w:lang w:eastAsia="pl-PL"/>
          <w14:ligatures w14:val="none"/>
        </w:rPr>
      </w:pPr>
      <w:r w:rsidRPr="00C62B76">
        <w:rPr>
          <w:rFonts w:ascii="Century Gothic" w:eastAsia="Times New Roman" w:hAnsi="Century Gothic" w:cs="Times New Roman"/>
          <w:b/>
          <w:bCs/>
          <w:kern w:val="0"/>
          <w:lang w:eastAsia="pl-PL"/>
          <w14:ligatures w14:val="none"/>
        </w:rPr>
        <w:t>Decyzja</w:t>
      </w:r>
    </w:p>
    <w:p w14:paraId="5291BFE9" w14:textId="77777777" w:rsidR="00EA7EF3" w:rsidRPr="00C62B76" w:rsidRDefault="00EA7EF3" w:rsidP="00EA7EF3">
      <w:pPr>
        <w:spacing w:after="0" w:line="276" w:lineRule="auto"/>
        <w:jc w:val="center"/>
        <w:rPr>
          <w:rFonts w:ascii="Century Gothic" w:eastAsia="Times New Roman" w:hAnsi="Century Gothic" w:cs="Times New Roman"/>
          <w:b/>
          <w:bCs/>
          <w:kern w:val="0"/>
          <w:lang w:eastAsia="pl-PL"/>
          <w14:ligatures w14:val="none"/>
        </w:rPr>
      </w:pPr>
      <w:r w:rsidRPr="00C62B76">
        <w:rPr>
          <w:rFonts w:ascii="Century Gothic" w:eastAsia="Times New Roman" w:hAnsi="Century Gothic" w:cs="Times New Roman"/>
          <w:b/>
          <w:bCs/>
          <w:kern w:val="0"/>
          <w:lang w:eastAsia="pl-PL"/>
          <w14:ligatures w14:val="none"/>
        </w:rPr>
        <w:t>o środowiskowych uwarunkowaniach</w:t>
      </w:r>
    </w:p>
    <w:p w14:paraId="3C7C204A" w14:textId="77777777" w:rsidR="00EA7EF3" w:rsidRPr="00C62B76" w:rsidRDefault="00EA7EF3" w:rsidP="00EA7EF3">
      <w:pPr>
        <w:spacing w:after="0" w:line="276" w:lineRule="auto"/>
        <w:jc w:val="both"/>
        <w:rPr>
          <w:rFonts w:ascii="Century Gothic" w:eastAsia="Times New Roman" w:hAnsi="Century Gothic" w:cs="Times New Roman"/>
          <w:kern w:val="0"/>
          <w:sz w:val="21"/>
          <w:szCs w:val="21"/>
          <w:lang w:eastAsia="pl-PL"/>
          <w14:ligatures w14:val="none"/>
        </w:rPr>
      </w:pPr>
    </w:p>
    <w:p w14:paraId="00EF9E23" w14:textId="0E264F3C" w:rsidR="00EA7EF3" w:rsidRPr="00C62B76" w:rsidRDefault="00EA7EF3" w:rsidP="00EA7EF3">
      <w:pPr>
        <w:spacing w:after="0" w:line="276" w:lineRule="auto"/>
        <w:jc w:val="both"/>
        <w:rPr>
          <w:rFonts w:ascii="Century Gothic" w:hAnsi="Century Gothic"/>
          <w:b/>
          <w:sz w:val="21"/>
          <w:szCs w:val="21"/>
        </w:rPr>
      </w:pPr>
      <w:r w:rsidRPr="00C62B76">
        <w:rPr>
          <w:rFonts w:ascii="Century Gothic" w:eastAsia="Times New Roman" w:hAnsi="Century Gothic" w:cs="Times New Roman"/>
          <w:kern w:val="0"/>
          <w:sz w:val="21"/>
          <w:szCs w:val="21"/>
          <w:lang w:eastAsia="pl-PL"/>
          <w14:ligatures w14:val="none"/>
        </w:rPr>
        <w:tab/>
      </w:r>
      <w:r w:rsidRPr="00C62B76">
        <w:rPr>
          <w:rFonts w:ascii="Century Gothic" w:eastAsia="Times New Roman" w:hAnsi="Century Gothic" w:cs="Calibri"/>
          <w:kern w:val="0"/>
          <w:sz w:val="21"/>
          <w:szCs w:val="21"/>
          <w:lang w:eastAsia="pl-PL"/>
          <w14:ligatures w14:val="none"/>
        </w:rPr>
        <w:t xml:space="preserve">Na podstawie art. 71 ust. 1 i ust. 2 pkt 2, art. 75 ust. 1 pkt. 4, art. 84 oraz 85 ust. 1, ust. 2 pkt 2, ust. 3 ustawy z dnia 3 października 2008 roku </w:t>
      </w:r>
      <w:r w:rsidRPr="00C62B76">
        <w:rPr>
          <w:rFonts w:ascii="Century Gothic" w:eastAsia="Times New Roman" w:hAnsi="Century Gothic" w:cs="Calibri"/>
          <w:i/>
          <w:kern w:val="0"/>
          <w:sz w:val="21"/>
          <w:szCs w:val="21"/>
          <w:lang w:eastAsia="pl-PL"/>
          <w14:ligatures w14:val="none"/>
        </w:rPr>
        <w:t xml:space="preserve">o udostępnianiu informacji </w:t>
      </w:r>
      <w:r w:rsidRPr="00C62B76">
        <w:rPr>
          <w:rFonts w:ascii="Century Gothic" w:eastAsia="Times New Roman" w:hAnsi="Century Gothic" w:cs="Calibri"/>
          <w:i/>
          <w:kern w:val="0"/>
          <w:sz w:val="21"/>
          <w:szCs w:val="21"/>
          <w:lang w:eastAsia="pl-PL"/>
          <w14:ligatures w14:val="none"/>
        </w:rPr>
        <w:br/>
        <w:t xml:space="preserve">o środowisku i jego ochronie, udziale społeczeństwa w ochronie środowiska oraz </w:t>
      </w:r>
      <w:r w:rsidRPr="00C62B76">
        <w:rPr>
          <w:rFonts w:ascii="Century Gothic" w:eastAsia="Times New Roman" w:hAnsi="Century Gothic" w:cs="Calibri"/>
          <w:i/>
          <w:kern w:val="0"/>
          <w:sz w:val="21"/>
          <w:szCs w:val="21"/>
          <w:lang w:eastAsia="pl-PL"/>
          <w14:ligatures w14:val="none"/>
        </w:rPr>
        <w:br/>
        <w:t>o ocenach oddziaływania na środowisko</w:t>
      </w:r>
      <w:r w:rsidRPr="00C62B76">
        <w:rPr>
          <w:rFonts w:ascii="Century Gothic" w:eastAsia="Times New Roman" w:hAnsi="Century Gothic" w:cs="Calibri"/>
          <w:kern w:val="0"/>
          <w:sz w:val="21"/>
          <w:szCs w:val="21"/>
          <w:lang w:eastAsia="pl-PL"/>
          <w14:ligatures w14:val="none"/>
        </w:rPr>
        <w:t xml:space="preserve"> /Dz. U. z 2024 r., poz. 1112/ oraz art. 104 ustawy z dnia 14 czerwca 1960 r. </w:t>
      </w:r>
      <w:r w:rsidRPr="00C62B76">
        <w:rPr>
          <w:rFonts w:ascii="Century Gothic" w:eastAsia="Times New Roman" w:hAnsi="Century Gothic" w:cs="Calibri"/>
          <w:i/>
          <w:kern w:val="0"/>
          <w:sz w:val="21"/>
          <w:szCs w:val="21"/>
          <w:lang w:eastAsia="pl-PL"/>
          <w14:ligatures w14:val="none"/>
        </w:rPr>
        <w:t xml:space="preserve">kodeks postępowania administracyjnego </w:t>
      </w:r>
      <w:r w:rsidRPr="00C62B76">
        <w:rPr>
          <w:rFonts w:ascii="Century Gothic" w:eastAsia="Times New Roman" w:hAnsi="Century Gothic" w:cs="Calibri"/>
          <w:kern w:val="0"/>
          <w:sz w:val="21"/>
          <w:szCs w:val="21"/>
          <w:lang w:eastAsia="pl-PL"/>
          <w14:ligatures w14:val="none"/>
        </w:rPr>
        <w:t>/Dz. U. z 2024 r., poz. 572/, po rozpatrzeniu wniosku</w:t>
      </w:r>
      <w:r w:rsidRPr="00C62B76">
        <w:rPr>
          <w:rFonts w:ascii="Century Gothic" w:eastAsia="Times New Roman" w:hAnsi="Century Gothic" w:cs="Times New Roman"/>
          <w:kern w:val="0"/>
          <w:sz w:val="21"/>
          <w:szCs w:val="21"/>
          <w14:ligatures w14:val="none"/>
        </w:rPr>
        <w:t xml:space="preserve"> Inwestora </w:t>
      </w:r>
      <w:r w:rsidRPr="00C62B76">
        <w:rPr>
          <w:rFonts w:ascii="Century Gothic" w:hAnsi="Century Gothic"/>
          <w:b/>
          <w:sz w:val="21"/>
          <w:szCs w:val="21"/>
        </w:rPr>
        <w:t>Pani Katarzyny C</w:t>
      </w:r>
      <w:r>
        <w:rPr>
          <w:rFonts w:ascii="Century Gothic" w:hAnsi="Century Gothic"/>
          <w:b/>
          <w:sz w:val="21"/>
          <w:szCs w:val="21"/>
        </w:rPr>
        <w:t>.</w:t>
      </w:r>
      <w:r w:rsidRPr="00C62B76">
        <w:rPr>
          <w:rFonts w:ascii="Century Gothic" w:hAnsi="Century Gothic"/>
          <w:b/>
          <w:sz w:val="21"/>
          <w:szCs w:val="21"/>
        </w:rPr>
        <w:t xml:space="preserve"> reprezentowanej przez Pełnomocnika Pana Krzysztofa Pyszny, ul. Piątkowska 118/30, 60-649 Poznań</w:t>
      </w:r>
      <w:r w:rsidRPr="00C62B76">
        <w:rPr>
          <w:rFonts w:ascii="Century Gothic" w:eastAsia="Times New Roman" w:hAnsi="Century Gothic" w:cs="Calibri"/>
          <w:kern w:val="0"/>
          <w:sz w:val="21"/>
          <w:szCs w:val="21"/>
          <w:lang w:eastAsia="pl-PL"/>
          <w14:ligatures w14:val="none"/>
        </w:rPr>
        <w:t xml:space="preserve"> w sprawie wydania decyzji o środowiskowych uwarunkowaniach dla przedsięwzięcia polegającego na </w:t>
      </w:r>
      <w:r w:rsidRPr="00C62B76">
        <w:rPr>
          <w:rFonts w:ascii="Century Gothic" w:hAnsi="Century Gothic"/>
          <w:b/>
          <w:sz w:val="21"/>
          <w:szCs w:val="21"/>
        </w:rPr>
        <w:t>budowie zespołu budynków mieszkalnych jednorodzinnych wraz z towarzyszącą infrastrukturą techniczną w miejscowości Kalina, Gmina Gniezno, działki nr 16/1, 16/2, 16/3, 16/4, 16/5, 16/6, 16/7, 16/8, 16/9 i 16/10.</w:t>
      </w:r>
    </w:p>
    <w:p w14:paraId="039263BC" w14:textId="77777777" w:rsidR="00EA7EF3" w:rsidRPr="00C62B76" w:rsidRDefault="00EA7EF3" w:rsidP="00EA7EF3">
      <w:pPr>
        <w:spacing w:after="0" w:line="276" w:lineRule="auto"/>
        <w:ind w:left="4248"/>
        <w:jc w:val="both"/>
        <w:rPr>
          <w:rFonts w:ascii="Century Gothic" w:eastAsia="Times New Roman" w:hAnsi="Century Gothic" w:cs="Calibri"/>
          <w:b/>
          <w:kern w:val="0"/>
          <w:lang w:eastAsia="pl-PL"/>
          <w14:ligatures w14:val="none"/>
        </w:rPr>
      </w:pPr>
      <w:r w:rsidRPr="00C62B76">
        <w:rPr>
          <w:rFonts w:ascii="Century Gothic" w:eastAsia="Times New Roman" w:hAnsi="Century Gothic" w:cs="Calibri"/>
          <w:b/>
          <w:kern w:val="0"/>
          <w:lang w:eastAsia="pl-PL"/>
          <w14:ligatures w14:val="none"/>
        </w:rPr>
        <w:t>Orzekam</w:t>
      </w:r>
    </w:p>
    <w:p w14:paraId="2208CD8F" w14:textId="77777777" w:rsidR="00EA7EF3" w:rsidRPr="00C62B76" w:rsidRDefault="00EA7EF3" w:rsidP="00EA7EF3">
      <w:pPr>
        <w:spacing w:after="0" w:line="276" w:lineRule="auto"/>
        <w:jc w:val="center"/>
        <w:rPr>
          <w:rFonts w:ascii="Century Gothic" w:eastAsia="Times New Roman" w:hAnsi="Century Gothic" w:cs="Calibri"/>
          <w:b/>
          <w:kern w:val="0"/>
          <w:sz w:val="21"/>
          <w:szCs w:val="21"/>
          <w:lang w:eastAsia="pl-PL"/>
          <w14:ligatures w14:val="none"/>
        </w:rPr>
      </w:pPr>
    </w:p>
    <w:p w14:paraId="46C2B701" w14:textId="77777777" w:rsidR="00EA7EF3" w:rsidRPr="00C62B76" w:rsidRDefault="00EA7EF3" w:rsidP="00EA7EF3">
      <w:pPr>
        <w:numPr>
          <w:ilvl w:val="0"/>
          <w:numId w:val="1"/>
        </w:numPr>
        <w:spacing w:after="0" w:line="276" w:lineRule="auto"/>
        <w:ind w:left="720" w:hanging="360"/>
        <w:jc w:val="both"/>
        <w:rPr>
          <w:rFonts w:ascii="Century Gothic" w:eastAsia="Times New Roman" w:hAnsi="Century Gothic" w:cs="Calibri"/>
          <w:b/>
          <w:kern w:val="0"/>
          <w:sz w:val="21"/>
          <w:szCs w:val="21"/>
          <w14:ligatures w14:val="none"/>
        </w:rPr>
      </w:pPr>
      <w:r w:rsidRPr="00C62B76">
        <w:rPr>
          <w:rFonts w:ascii="Century Gothic" w:eastAsia="Times New Roman" w:hAnsi="Century Gothic" w:cs="Calibri"/>
          <w:b/>
          <w:kern w:val="0"/>
          <w:sz w:val="21"/>
          <w:szCs w:val="21"/>
          <w:lang w:eastAsia="pl-PL"/>
          <w14:ligatures w14:val="none"/>
        </w:rPr>
        <w:t xml:space="preserve">Stwierdzić brak potrzeby przeprowadzenia oceny oddziaływania na środowisko </w:t>
      </w:r>
      <w:r w:rsidRPr="00C62B76">
        <w:rPr>
          <w:rFonts w:ascii="Century Gothic" w:eastAsia="Times New Roman" w:hAnsi="Century Gothic" w:cs="Calibri"/>
          <w:kern w:val="0"/>
          <w:sz w:val="21"/>
          <w:szCs w:val="21"/>
          <w:lang w:eastAsia="pl-PL"/>
          <w14:ligatures w14:val="none"/>
        </w:rPr>
        <w:t xml:space="preserve">dla przedsięwzięcia </w:t>
      </w:r>
      <w:r w:rsidRPr="00C62B76">
        <w:rPr>
          <w:rFonts w:ascii="Century Gothic" w:eastAsia="Times New Roman" w:hAnsi="Century Gothic" w:cs="Calibri"/>
          <w:kern w:val="0"/>
          <w:sz w:val="21"/>
          <w:szCs w:val="21"/>
          <w14:ligatures w14:val="none"/>
        </w:rPr>
        <w:t>polegającego</w:t>
      </w:r>
      <w:r w:rsidRPr="00C62B76">
        <w:rPr>
          <w:rFonts w:ascii="Century Gothic" w:eastAsia="Times New Roman" w:hAnsi="Century Gothic" w:cs="Calibri"/>
          <w:bCs/>
          <w:kern w:val="0"/>
          <w:sz w:val="21"/>
          <w:szCs w:val="21"/>
          <w14:ligatures w14:val="none"/>
        </w:rPr>
        <w:t xml:space="preserve"> na</w:t>
      </w:r>
      <w:r w:rsidRPr="00C62B76">
        <w:rPr>
          <w:rFonts w:ascii="Century Gothic" w:hAnsi="Century Gothic"/>
          <w:b/>
          <w:sz w:val="21"/>
          <w:szCs w:val="21"/>
        </w:rPr>
        <w:t xml:space="preserve"> budowie zespołu budynków mieszkalnych jednorodzinnych wraz z towarzyszącą infrastrukturą techniczną w miejscowości Kalina, Gmina Gniezno, działki nr 16/1, 16/2, 16/3, 16/4, 16/5, 16/6, 16/7, 16/8, 16/9 i 16/10</w:t>
      </w:r>
      <w:r w:rsidRPr="00C62B76">
        <w:rPr>
          <w:rFonts w:ascii="Century Gothic" w:hAnsi="Century Gothic"/>
          <w:b/>
          <w:bCs/>
          <w:sz w:val="21"/>
          <w:szCs w:val="21"/>
        </w:rPr>
        <w:t>.</w:t>
      </w:r>
    </w:p>
    <w:p w14:paraId="36F389ED" w14:textId="77777777" w:rsidR="00EA7EF3" w:rsidRPr="00C62B76" w:rsidRDefault="00EA7EF3" w:rsidP="00EA7EF3">
      <w:pPr>
        <w:numPr>
          <w:ilvl w:val="0"/>
          <w:numId w:val="1"/>
        </w:numPr>
        <w:spacing w:after="0" w:line="276" w:lineRule="auto"/>
        <w:ind w:left="720" w:hanging="360"/>
        <w:jc w:val="both"/>
        <w:rPr>
          <w:rFonts w:ascii="Century Gothic" w:eastAsia="Times New Roman" w:hAnsi="Century Gothic" w:cs="Calibri"/>
          <w:b/>
          <w:kern w:val="0"/>
          <w:sz w:val="21"/>
          <w:szCs w:val="21"/>
          <w:lang w:eastAsia="pl-PL"/>
          <w14:ligatures w14:val="none"/>
        </w:rPr>
      </w:pPr>
      <w:r w:rsidRPr="00C62B76">
        <w:rPr>
          <w:rFonts w:ascii="Century Gothic" w:eastAsia="Times New Roman" w:hAnsi="Century Gothic" w:cs="Calibri"/>
          <w:b/>
          <w:kern w:val="0"/>
          <w:sz w:val="21"/>
          <w:szCs w:val="21"/>
          <w14:ligatures w14:val="none"/>
        </w:rPr>
        <w:t xml:space="preserve">Określić następujące </w:t>
      </w:r>
      <w:r w:rsidRPr="00C62B76">
        <w:rPr>
          <w:rFonts w:ascii="Century Gothic" w:eastAsia="Times New Roman" w:hAnsi="Century Gothic" w:cs="Calibri"/>
          <w:b/>
          <w:kern w:val="0"/>
          <w:sz w:val="21"/>
          <w:szCs w:val="21"/>
          <w:lang w:eastAsia="pl-PL"/>
          <w14:ligatures w14:val="none"/>
        </w:rPr>
        <w:t>środowiskowe uwarunkowania realizacji opisanego wyżej przedsięwzięcia:</w:t>
      </w:r>
    </w:p>
    <w:p w14:paraId="37FF221D" w14:textId="77777777" w:rsidR="00EA7EF3" w:rsidRPr="00C62B76" w:rsidRDefault="00EA7EF3" w:rsidP="00EA7EF3">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sidRPr="00C62B76">
        <w:rPr>
          <w:rFonts w:ascii="Century Gothic" w:eastAsia="Times New Roman" w:hAnsi="Century Gothic" w:cs="Calibri"/>
          <w:i/>
          <w:iCs/>
          <w:kern w:val="0"/>
          <w:sz w:val="21"/>
          <w:szCs w:val="21"/>
          <w:u w:val="single"/>
          <w:lang w:eastAsia="pl-PL"/>
          <w14:ligatures w14:val="none"/>
        </w:rPr>
        <w:lastRenderedPageBreak/>
        <w:t>Rodzaj i miejsce realizacji przedsięwzięcia</w:t>
      </w:r>
    </w:p>
    <w:p w14:paraId="51CC8448" w14:textId="77777777" w:rsidR="00EA7EF3" w:rsidRPr="00C62B76" w:rsidRDefault="00EA7EF3" w:rsidP="00EA7EF3">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sidRPr="00C62B76">
        <w:rPr>
          <w:rFonts w:ascii="Century Gothic" w:hAnsi="Century Gothic"/>
          <w:bCs/>
          <w:sz w:val="21"/>
          <w:szCs w:val="21"/>
        </w:rPr>
        <w:t xml:space="preserve">Budowa </w:t>
      </w:r>
      <w:r w:rsidRPr="00C62B76">
        <w:rPr>
          <w:rFonts w:ascii="Century Gothic" w:hAnsi="Century Gothic"/>
          <w:bCs/>
          <w:sz w:val="20"/>
          <w:szCs w:val="20"/>
        </w:rPr>
        <w:t>zespołu budynków mieszkalnych jednorodzinnych</w:t>
      </w:r>
      <w:r w:rsidRPr="00C62B76">
        <w:rPr>
          <w:rFonts w:ascii="Century Gothic" w:eastAsia="Times New Roman" w:hAnsi="Century Gothic" w:cs="Calibri"/>
          <w:bCs/>
          <w:i/>
          <w:kern w:val="0"/>
          <w:sz w:val="21"/>
          <w:szCs w:val="21"/>
          <w14:ligatures w14:val="none"/>
        </w:rPr>
        <w:t xml:space="preserve">, </w:t>
      </w:r>
      <w:r w:rsidRPr="00C62B76">
        <w:rPr>
          <w:rFonts w:ascii="Century Gothic" w:eastAsia="Times New Roman" w:hAnsi="Century Gothic" w:cs="Calibri"/>
          <w:bCs/>
          <w:kern w:val="0"/>
          <w:sz w:val="21"/>
          <w:szCs w:val="21"/>
          <w:lang w:eastAsia="pl-PL"/>
          <w14:ligatures w14:val="none"/>
        </w:rPr>
        <w:t>zgodnie z charakterystyką przedsięwzięcia, która stanowi załącznik do niniejszej decyzji.</w:t>
      </w:r>
    </w:p>
    <w:p w14:paraId="2DFB9E84" w14:textId="77777777" w:rsidR="00EA7EF3" w:rsidRPr="00C62B76" w:rsidRDefault="00EA7EF3" w:rsidP="00EA7EF3">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sidRPr="00C62B76">
        <w:rPr>
          <w:rFonts w:ascii="Century Gothic" w:eastAsia="Times New Roman" w:hAnsi="Century Gothic" w:cs="Calibri"/>
          <w:bCs/>
          <w:kern w:val="0"/>
          <w:sz w:val="21"/>
          <w:szCs w:val="21"/>
          <w:lang w:eastAsia="pl-PL"/>
          <w14:ligatures w14:val="none"/>
        </w:rPr>
        <w:t xml:space="preserve">Przedsięwzięcie realizowane będzie </w:t>
      </w:r>
      <w:r w:rsidRPr="00C62B76">
        <w:rPr>
          <w:rFonts w:ascii="Century Gothic" w:eastAsia="Times New Roman" w:hAnsi="Century Gothic" w:cs="Calibri"/>
          <w:bCs/>
          <w:kern w:val="0"/>
          <w:sz w:val="21"/>
          <w:szCs w:val="21"/>
          <w14:ligatures w14:val="none"/>
        </w:rPr>
        <w:t>na nieruchomościach oznaczonych geodezyjnie jako działki nr</w:t>
      </w:r>
      <w:r w:rsidRPr="00C62B76">
        <w:rPr>
          <w:rFonts w:ascii="Century Gothic" w:hAnsi="Century Gothic"/>
          <w:bCs/>
          <w:sz w:val="21"/>
          <w:szCs w:val="21"/>
        </w:rPr>
        <w:t xml:space="preserve"> </w:t>
      </w:r>
      <w:r w:rsidRPr="00C62B76">
        <w:rPr>
          <w:rFonts w:ascii="Century Gothic" w:hAnsi="Century Gothic"/>
          <w:bCs/>
          <w:sz w:val="20"/>
          <w:szCs w:val="20"/>
        </w:rPr>
        <w:t>16/1, 16/2, 16/3, 16/4, 16/5, 16/6, 16/7, 16/8, 16/9 i 16/10</w:t>
      </w:r>
      <w:r w:rsidRPr="00C62B76">
        <w:rPr>
          <w:rFonts w:ascii="Century Gothic" w:eastAsia="Times New Roman" w:hAnsi="Century Gothic" w:cs="Calibri"/>
          <w:bCs/>
          <w:kern w:val="0"/>
          <w:sz w:val="21"/>
          <w:szCs w:val="21"/>
          <w14:ligatures w14:val="none"/>
        </w:rPr>
        <w:t xml:space="preserve">, położone w miejscowości Kalina, Gmina Gniezno. </w:t>
      </w:r>
    </w:p>
    <w:p w14:paraId="28FCF80F" w14:textId="77777777" w:rsidR="00EA7EF3" w:rsidRPr="00C62B76" w:rsidRDefault="00EA7EF3" w:rsidP="00EA7EF3">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sidRPr="00C62B76">
        <w:rPr>
          <w:rFonts w:ascii="Century Gothic" w:eastAsia="Times New Roman" w:hAnsi="Century Gothic" w:cs="Calibri"/>
          <w:bCs/>
          <w:i/>
          <w:iCs/>
          <w:kern w:val="0"/>
          <w:sz w:val="21"/>
          <w:szCs w:val="21"/>
          <w:u w:val="single"/>
          <w:lang w:eastAsia="pl-PL"/>
          <w14:ligatures w14:val="none"/>
        </w:rPr>
        <w:t>Warunki wykorzystania terenu w fazie realizacji i eksploatacji, ze szczególnym uwzględnieniem konieczności ochrony cennych wartości przyrodniczych, zasobów naturalnych i zabytków oraz ograniczenia uciążliwości dla terenów sąsiednich.</w:t>
      </w:r>
    </w:p>
    <w:p w14:paraId="0BC52394" w14:textId="77777777" w:rsidR="00EA7EF3" w:rsidRPr="00C62B76" w:rsidRDefault="00EA7EF3" w:rsidP="00EA7EF3">
      <w:pPr>
        <w:numPr>
          <w:ilvl w:val="1"/>
          <w:numId w:val="2"/>
        </w:numPr>
        <w:spacing w:after="0" w:line="276" w:lineRule="auto"/>
        <w:ind w:right="9"/>
        <w:jc w:val="both"/>
        <w:rPr>
          <w:rFonts w:ascii="Century Gothic" w:eastAsia="Times New Roman" w:hAnsi="Century Gothic" w:cs="Calibri"/>
          <w:kern w:val="0"/>
          <w:sz w:val="21"/>
          <w:szCs w:val="21"/>
          <w14:ligatures w14:val="none"/>
        </w:rPr>
      </w:pPr>
      <w:r w:rsidRPr="00C62B76">
        <w:rPr>
          <w:rFonts w:ascii="Century Gothic" w:hAnsi="Century Gothic"/>
          <w:sz w:val="21"/>
          <w:szCs w:val="21"/>
        </w:rPr>
        <w:t>Nie prowadzić napraw i konserwacji sprzętu budowlanego na terenie przedsięwzięcia.</w:t>
      </w:r>
    </w:p>
    <w:p w14:paraId="24F2AD39" w14:textId="77777777" w:rsidR="00EA7EF3" w:rsidRPr="00C62B76" w:rsidRDefault="00EA7EF3" w:rsidP="00EA7EF3">
      <w:pPr>
        <w:numPr>
          <w:ilvl w:val="1"/>
          <w:numId w:val="2"/>
        </w:numPr>
        <w:spacing w:after="0" w:line="276" w:lineRule="auto"/>
        <w:ind w:right="9"/>
        <w:jc w:val="both"/>
        <w:rPr>
          <w:rFonts w:ascii="Century Gothic" w:eastAsia="Times New Roman" w:hAnsi="Century Gothic" w:cs="Calibri"/>
          <w:kern w:val="0"/>
          <w:sz w:val="21"/>
          <w:szCs w:val="21"/>
          <w14:ligatures w14:val="none"/>
        </w:rPr>
      </w:pPr>
      <w:r w:rsidRPr="00C62B76">
        <w:rPr>
          <w:rFonts w:ascii="Century Gothic" w:hAnsi="Century Gothic"/>
          <w:sz w:val="21"/>
          <w:szCs w:val="21"/>
        </w:rPr>
        <w:t>Prace budowlane oraz ruch pojazdów z nimi związany prowadzić wyłącznie w porze dnia, tj. w godz. 6.00—22.00.</w:t>
      </w:r>
    </w:p>
    <w:p w14:paraId="0CEC2FFD" w14:textId="77777777" w:rsidR="00EA7EF3" w:rsidRPr="00C62B76" w:rsidRDefault="00EA7EF3" w:rsidP="00EA7EF3">
      <w:pPr>
        <w:numPr>
          <w:ilvl w:val="0"/>
          <w:numId w:val="2"/>
        </w:numPr>
        <w:spacing w:after="0" w:line="276" w:lineRule="auto"/>
        <w:ind w:left="709" w:hanging="338"/>
        <w:jc w:val="both"/>
        <w:rPr>
          <w:rFonts w:ascii="Century Gothic" w:eastAsia="Times New Roman" w:hAnsi="Century Gothic" w:cs="Calibri"/>
          <w:bCs/>
          <w:kern w:val="0"/>
          <w:sz w:val="21"/>
          <w:szCs w:val="21"/>
          <w:u w:val="single"/>
          <w:lang w:eastAsia="pl-PL"/>
          <w14:ligatures w14:val="none"/>
        </w:rPr>
      </w:pPr>
      <w:r w:rsidRPr="00C62B76">
        <w:rPr>
          <w:rFonts w:ascii="Century Gothic" w:eastAsia="Times New Roman" w:hAnsi="Century Gothic" w:cs="Calibri"/>
          <w:bCs/>
          <w:iCs/>
          <w:kern w:val="0"/>
          <w:sz w:val="21"/>
          <w:szCs w:val="21"/>
          <w:u w:val="single"/>
          <w:lang w:eastAsia="pl-PL"/>
          <w14:ligatures w14:val="none"/>
        </w:rPr>
        <w:t>Wymagania dotyczące ochrony środowiska konieczne do uwzględnienia w projekcie budowlanym:</w:t>
      </w:r>
    </w:p>
    <w:p w14:paraId="5BF9ACF0" w14:textId="77777777" w:rsidR="00EA7EF3" w:rsidRPr="00C62B76" w:rsidRDefault="00EA7EF3" w:rsidP="00EA7EF3">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sidRPr="00C62B76">
        <w:rPr>
          <w:rFonts w:ascii="Century Gothic" w:hAnsi="Century Gothic"/>
          <w:sz w:val="21"/>
          <w:szCs w:val="21"/>
        </w:rPr>
        <w:t>Zaopatrzenie w wodę zapewnić z sieci wodociągowej.</w:t>
      </w:r>
    </w:p>
    <w:p w14:paraId="146C5D97" w14:textId="77777777" w:rsidR="00EA7EF3" w:rsidRPr="00C62B76" w:rsidRDefault="00EA7EF3" w:rsidP="00EA7EF3">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sidRPr="00C62B76">
        <w:rPr>
          <w:rFonts w:ascii="Century Gothic" w:hAnsi="Century Gothic"/>
          <w:sz w:val="21"/>
          <w:szCs w:val="21"/>
        </w:rPr>
        <w:t>Niezanieczyszczone masy ziemne i glebę występujące w stanie naturalnym, powstające w trakcie realizacji przedsięwzięcia, wykorzystać w pierwszej kolejności ponownie na terenie przedsięwzięcia.</w:t>
      </w:r>
    </w:p>
    <w:p w14:paraId="1C4F1AA3" w14:textId="77777777" w:rsidR="00EA7EF3" w:rsidRPr="00C62B76" w:rsidRDefault="00EA7EF3" w:rsidP="00EA7EF3">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sidRPr="00C62B76">
        <w:rPr>
          <w:rFonts w:ascii="Century Gothic" w:hAnsi="Century Gothic"/>
          <w:sz w:val="21"/>
          <w:szCs w:val="21"/>
        </w:rPr>
        <w:t>ścieki bytowe do czasu wystąpienia możliwości podłączenia domów do gminnej sieci kanalizacji sanitarnej, odprowadzać do szczelnych zbiorników bezodpływowych z zapewnieniem ich odbioru przez uprawiony w tym zakresie podmiot. Podłączenie do sieci kanalizacji sanitarnej wykonać niezwłocznie, jak to będzie technicznie możliwe.</w:t>
      </w:r>
    </w:p>
    <w:p w14:paraId="21BD9C35" w14:textId="77777777" w:rsidR="00EA7EF3" w:rsidRPr="00C62B76" w:rsidRDefault="00EA7EF3" w:rsidP="00EA7EF3">
      <w:pPr>
        <w:numPr>
          <w:ilvl w:val="1"/>
          <w:numId w:val="2"/>
        </w:numPr>
        <w:spacing w:after="0" w:line="276" w:lineRule="auto"/>
        <w:contextualSpacing/>
        <w:jc w:val="both"/>
        <w:rPr>
          <w:rFonts w:ascii="Century Gothic" w:eastAsia="Times New Roman" w:hAnsi="Century Gothic" w:cs="Calibri"/>
          <w:kern w:val="0"/>
          <w:sz w:val="21"/>
          <w:szCs w:val="21"/>
          <w14:ligatures w14:val="none"/>
        </w:rPr>
      </w:pPr>
      <w:r w:rsidRPr="00C62B76">
        <w:rPr>
          <w:rFonts w:ascii="Century Gothic" w:hAnsi="Century Gothic" w:cs="Calibri"/>
          <w:sz w:val="21"/>
          <w:szCs w:val="21"/>
        </w:rPr>
        <w:t>Wody opadowe i roztopowe z dachów i terenów utwardzonych odprowadzać w sposób niezorganizowany do gruntu i/lub dołów chłonnych lub do zbiorników retencyjnych, bez powodowania szkody na gruntach sąsiednich.</w:t>
      </w:r>
    </w:p>
    <w:p w14:paraId="021E718D" w14:textId="77777777" w:rsidR="00EA7EF3" w:rsidRPr="00C62B76" w:rsidRDefault="00EA7EF3" w:rsidP="00EA7EF3">
      <w:pPr>
        <w:pStyle w:val="Akapitzlist"/>
        <w:numPr>
          <w:ilvl w:val="1"/>
          <w:numId w:val="2"/>
        </w:numPr>
        <w:jc w:val="both"/>
        <w:rPr>
          <w:rFonts w:ascii="Century Gothic" w:eastAsia="Times New Roman" w:hAnsi="Century Gothic" w:cs="Calibri"/>
          <w:kern w:val="0"/>
          <w:sz w:val="21"/>
          <w:szCs w:val="21"/>
          <w14:ligatures w14:val="none"/>
        </w:rPr>
      </w:pPr>
      <w:r w:rsidRPr="00C62B76">
        <w:rPr>
          <w:rFonts w:ascii="Century Gothic" w:eastAsia="Times New Roman" w:hAnsi="Century Gothic" w:cs="Calibri"/>
          <w:kern w:val="0"/>
          <w:sz w:val="21"/>
          <w:szCs w:val="21"/>
          <w14:ligatures w14:val="none"/>
        </w:rPr>
        <w:t xml:space="preserve">W przypadku zastosowania pomp ciepła, zainstalować dla potrzeb pojedynczego lokalu mieszkalnego maksymalnie 1 pompę ciepła o poziomie mocy akustycznej nie wyższym niż 59 każda. </w:t>
      </w:r>
    </w:p>
    <w:p w14:paraId="64F6EEF5" w14:textId="77777777" w:rsidR="00EA7EF3" w:rsidRPr="00C62B76" w:rsidRDefault="00EA7EF3" w:rsidP="00EA7EF3">
      <w:pPr>
        <w:pStyle w:val="Akapitzlist"/>
        <w:numPr>
          <w:ilvl w:val="1"/>
          <w:numId w:val="2"/>
        </w:numPr>
        <w:jc w:val="both"/>
        <w:rPr>
          <w:rFonts w:ascii="Century Gothic" w:eastAsia="Times New Roman" w:hAnsi="Century Gothic" w:cs="Calibri"/>
          <w:kern w:val="0"/>
          <w:sz w:val="21"/>
          <w:szCs w:val="21"/>
          <w14:ligatures w14:val="none"/>
        </w:rPr>
      </w:pPr>
      <w:r w:rsidRPr="00C62B76">
        <w:rPr>
          <w:rFonts w:ascii="Century Gothic" w:eastAsia="Times New Roman" w:hAnsi="Century Gothic" w:cs="Calibri"/>
          <w:kern w:val="0"/>
          <w:sz w:val="21"/>
          <w:szCs w:val="21"/>
          <w14:ligatures w14:val="none"/>
        </w:rPr>
        <w:t xml:space="preserve">W przypadku instalacji kotłów grzewczych zainstalować kotły zasilane niskoemisyjnym paliwem gazowym lub innym paliwem o równym lub niższym poziomie emisji zanieczyszczeń do powietrza. </w:t>
      </w:r>
    </w:p>
    <w:p w14:paraId="703A2ACF" w14:textId="77777777" w:rsidR="00EA7EF3" w:rsidRPr="00C62B76" w:rsidRDefault="00EA7EF3" w:rsidP="00EA7EF3">
      <w:pPr>
        <w:spacing w:line="276" w:lineRule="auto"/>
        <w:contextualSpacing/>
        <w:jc w:val="both"/>
        <w:rPr>
          <w:rFonts w:ascii="Century Gothic" w:hAnsi="Century Gothic" w:cs="Calibri"/>
          <w:bCs/>
          <w:iCs/>
          <w:sz w:val="21"/>
          <w:szCs w:val="21"/>
          <w:lang w:eastAsia="pl-PL"/>
        </w:rPr>
      </w:pPr>
      <w:r w:rsidRPr="00C62B76">
        <w:rPr>
          <w:rFonts w:ascii="Century Gothic" w:hAnsi="Century Gothic" w:cs="Calibri"/>
          <w:b/>
          <w:bCs/>
          <w:iCs/>
          <w:sz w:val="21"/>
          <w:szCs w:val="21"/>
        </w:rPr>
        <w:t xml:space="preserve">III.  Ustalić </w:t>
      </w:r>
      <w:r w:rsidRPr="00C62B76">
        <w:rPr>
          <w:rFonts w:ascii="Century Gothic" w:hAnsi="Century Gothic" w:cs="Calibri"/>
          <w:bCs/>
          <w:iCs/>
          <w:sz w:val="21"/>
          <w:szCs w:val="21"/>
        </w:rPr>
        <w:t>charakterystykę planowanego przedsięwzięcia zawartą w załączniku do niniejszej decyzji jako jej integralną część.</w:t>
      </w:r>
    </w:p>
    <w:p w14:paraId="02893712" w14:textId="77777777" w:rsidR="00EA7EF3" w:rsidRPr="00C62B76" w:rsidRDefault="00EA7EF3" w:rsidP="00EA7EF3">
      <w:pPr>
        <w:keepNext/>
        <w:spacing w:after="120" w:line="276" w:lineRule="auto"/>
        <w:jc w:val="center"/>
        <w:outlineLvl w:val="1"/>
        <w:rPr>
          <w:rFonts w:ascii="Century Gothic" w:eastAsia="Times New Roman" w:hAnsi="Century Gothic" w:cs="Times New Roman"/>
          <w:b/>
          <w:bCs/>
          <w:kern w:val="0"/>
          <w:lang w:eastAsia="pl-PL"/>
          <w14:ligatures w14:val="none"/>
        </w:rPr>
      </w:pPr>
      <w:r w:rsidRPr="00C62B76">
        <w:rPr>
          <w:rFonts w:ascii="Century Gothic" w:eastAsia="Times New Roman" w:hAnsi="Century Gothic" w:cs="Times New Roman"/>
          <w:b/>
          <w:bCs/>
          <w:kern w:val="0"/>
          <w:lang w:eastAsia="pl-PL"/>
          <w14:ligatures w14:val="none"/>
        </w:rPr>
        <w:t>Uzasadnienie</w:t>
      </w:r>
    </w:p>
    <w:p w14:paraId="6512685B" w14:textId="3EF18EEF" w:rsidR="00EA7EF3" w:rsidRPr="00C62B76" w:rsidRDefault="00EA7EF3" w:rsidP="00EA7EF3">
      <w:pPr>
        <w:spacing w:after="0" w:line="276" w:lineRule="auto"/>
        <w:jc w:val="both"/>
        <w:rPr>
          <w:rFonts w:ascii="Century Gothic" w:eastAsia="Times New Roman" w:hAnsi="Century Gothic" w:cs="Calibri"/>
          <w:kern w:val="0"/>
          <w:sz w:val="21"/>
          <w:szCs w:val="21"/>
          <w:lang w:eastAsia="pl-PL"/>
          <w14:ligatures w14:val="none"/>
        </w:rPr>
      </w:pPr>
      <w:r w:rsidRPr="00C62B76">
        <w:rPr>
          <w:rFonts w:ascii="Century Gothic" w:eastAsia="Times New Roman" w:hAnsi="Century Gothic" w:cs="Calibri"/>
          <w:kern w:val="0"/>
          <w:sz w:val="21"/>
          <w:szCs w:val="21"/>
          <w14:ligatures w14:val="none"/>
        </w:rPr>
        <w:t xml:space="preserve">1.  </w:t>
      </w:r>
      <w:r w:rsidRPr="00C62B76">
        <w:rPr>
          <w:rFonts w:ascii="Century Gothic" w:eastAsia="Times New Roman" w:hAnsi="Century Gothic" w:cs="Calibri"/>
          <w:kern w:val="0"/>
          <w:sz w:val="21"/>
          <w:szCs w:val="21"/>
          <w:lang w:eastAsia="pl-PL"/>
          <w14:ligatures w14:val="none"/>
        </w:rPr>
        <w:t xml:space="preserve">Wnioskiem z dnia 23 grudnia 2024 r. (data wpływu 3.01.2025 r.) </w:t>
      </w:r>
      <w:r w:rsidRPr="00C62B76">
        <w:rPr>
          <w:rFonts w:ascii="Century Gothic" w:hAnsi="Century Gothic"/>
          <w:bCs/>
          <w:sz w:val="21"/>
          <w:szCs w:val="21"/>
        </w:rPr>
        <w:t>przekazanym przez Prezydenta Miasta Gniezna zawiadomieniem nr WOŚ.6220.31.2024 z dnia 2 stycznia 2025 r</w:t>
      </w:r>
      <w:r w:rsidRPr="00C62B76">
        <w:rPr>
          <w:rFonts w:ascii="Century Gothic" w:eastAsia="Times New Roman" w:hAnsi="Century Gothic" w:cs="Calibri"/>
          <w:kern w:val="0"/>
          <w:sz w:val="21"/>
          <w:szCs w:val="21"/>
          <w:lang w:eastAsia="pl-PL"/>
          <w14:ligatures w14:val="none"/>
        </w:rPr>
        <w:t>.</w:t>
      </w:r>
      <w:r>
        <w:rPr>
          <w:rFonts w:ascii="Century Gothic" w:eastAsia="Times New Roman" w:hAnsi="Century Gothic" w:cs="Calibri"/>
          <w:kern w:val="0"/>
          <w:sz w:val="21"/>
          <w:szCs w:val="21"/>
          <w:lang w:eastAsia="pl-PL"/>
          <w14:ligatures w14:val="none"/>
        </w:rPr>
        <w:t>,</w:t>
      </w:r>
      <w:r w:rsidRPr="00C62B76">
        <w:rPr>
          <w:rFonts w:ascii="Century Gothic" w:eastAsia="Times New Roman" w:hAnsi="Century Gothic" w:cs="Calibri"/>
          <w:kern w:val="0"/>
          <w:sz w:val="21"/>
          <w:szCs w:val="21"/>
          <w:lang w:eastAsia="pl-PL"/>
          <w14:ligatures w14:val="none"/>
        </w:rPr>
        <w:t xml:space="preserve"> Inwestor </w:t>
      </w:r>
      <w:r w:rsidRPr="00C62B76">
        <w:rPr>
          <w:rFonts w:ascii="Century Gothic" w:hAnsi="Century Gothic"/>
          <w:sz w:val="21"/>
          <w:szCs w:val="21"/>
        </w:rPr>
        <w:t>Pani Katarzyna C</w:t>
      </w:r>
      <w:r>
        <w:rPr>
          <w:rFonts w:ascii="Century Gothic" w:hAnsi="Century Gothic"/>
          <w:sz w:val="21"/>
          <w:szCs w:val="21"/>
        </w:rPr>
        <w:t>.</w:t>
      </w:r>
      <w:r w:rsidRPr="00C62B76">
        <w:rPr>
          <w:rFonts w:ascii="Century Gothic" w:hAnsi="Century Gothic"/>
          <w:sz w:val="21"/>
          <w:szCs w:val="21"/>
        </w:rPr>
        <w:t xml:space="preserve"> reprezentowana przez Pełnomocnika Pana Krzysztofa Pyszny, ul. Piątkowska 118/30, 60-649 Poznań</w:t>
      </w:r>
      <w:r w:rsidRPr="00C62B76">
        <w:rPr>
          <w:rFonts w:ascii="Century Gothic" w:eastAsia="Times New Roman" w:hAnsi="Century Gothic" w:cs="Calibri"/>
          <w:kern w:val="0"/>
          <w:sz w:val="21"/>
          <w:szCs w:val="21"/>
          <w:lang w:eastAsia="pl-PL"/>
          <w14:ligatures w14:val="none"/>
        </w:rPr>
        <w:t xml:space="preserve"> zwróciła się do Wójta Gminy Gniezno o wydanie decyzji o środowiskowych uwarunkowaniach dla przedsięwzięcia polegającego </w:t>
      </w:r>
      <w:r w:rsidRPr="00C62B76">
        <w:rPr>
          <w:rFonts w:ascii="Century Gothic" w:eastAsia="Times New Roman" w:hAnsi="Century Gothic" w:cs="Calibri"/>
          <w:kern w:val="0"/>
          <w:sz w:val="21"/>
          <w:szCs w:val="21"/>
          <w14:ligatures w14:val="none"/>
        </w:rPr>
        <w:t>na</w:t>
      </w:r>
      <w:r w:rsidRPr="00C62B76">
        <w:rPr>
          <w:rFonts w:ascii="Century Gothic" w:hAnsi="Century Gothic"/>
          <w:sz w:val="21"/>
          <w:szCs w:val="21"/>
        </w:rPr>
        <w:t xml:space="preserve"> budowie zespołu budynków mieszkalnych jednorodzinnych wraz z towarzyszącą infrastrukturą techniczną w miejscowości Kalina, Gmina Gniezno, działki nr 16/1, 16/2, 16/3, 16/4, 16/5, 16/6, 16/7, 16/8, 16/9 i 16/10</w:t>
      </w:r>
      <w:r w:rsidRPr="00C62B76">
        <w:rPr>
          <w:rFonts w:ascii="Century Gothic" w:eastAsia="Times New Roman" w:hAnsi="Century Gothic" w:cs="Times New Roman"/>
          <w:kern w:val="0"/>
          <w:sz w:val="21"/>
          <w:szCs w:val="21"/>
          <w14:ligatures w14:val="none"/>
        </w:rPr>
        <w:t xml:space="preserve">, </w:t>
      </w:r>
      <w:r w:rsidRPr="00C62B76">
        <w:rPr>
          <w:rFonts w:ascii="Century Gothic" w:eastAsia="Times New Roman" w:hAnsi="Century Gothic" w:cs="Calibri"/>
          <w:kern w:val="0"/>
          <w:sz w:val="21"/>
          <w:szCs w:val="21"/>
          <w:lang w:eastAsia="pl-PL"/>
          <w14:ligatures w14:val="none"/>
        </w:rPr>
        <w:t xml:space="preserve">dołączając do wniosku kartę informacyjną </w:t>
      </w:r>
      <w:r w:rsidRPr="00C62B76">
        <w:rPr>
          <w:rFonts w:ascii="Century Gothic" w:eastAsia="Times New Roman" w:hAnsi="Century Gothic" w:cs="Calibri"/>
          <w:kern w:val="0"/>
          <w:sz w:val="21"/>
          <w:szCs w:val="21"/>
          <w:lang w:eastAsia="pl-PL"/>
          <w14:ligatures w14:val="none"/>
        </w:rPr>
        <w:lastRenderedPageBreak/>
        <w:t>przedsięwzięcia (również w wersji elektronicznej), poświadczoną przez właściwy organ mapę ewidencyjną w skali 1:5000, obejmującą przewidywany teren na którym będzie realizowane przedsięwzięcie oraz obejmującą przewidywany obszar, na który będzie oddziaływać przedsięwzięcie, (również w wersji elektronicznej) oraz pełnomocnictwo z opłata skarbową.</w:t>
      </w:r>
    </w:p>
    <w:p w14:paraId="0E3A5B75" w14:textId="77777777" w:rsidR="00EA7EF3" w:rsidRPr="00C62B76" w:rsidRDefault="00EA7EF3" w:rsidP="00EA7EF3">
      <w:pPr>
        <w:widowControl w:val="0"/>
        <w:spacing w:after="0" w:line="276" w:lineRule="auto"/>
        <w:ind w:right="74"/>
        <w:contextualSpacing/>
        <w:jc w:val="both"/>
        <w:rPr>
          <w:rFonts w:ascii="Century Gothic" w:eastAsia="Times New Roman" w:hAnsi="Century Gothic" w:cs="Times New Roman"/>
          <w:kern w:val="0"/>
          <w:sz w:val="21"/>
          <w:szCs w:val="21"/>
          <w:lang w:eastAsia="pl-PL"/>
          <w14:ligatures w14:val="none"/>
        </w:rPr>
      </w:pPr>
      <w:r w:rsidRPr="00C62B76">
        <w:rPr>
          <w:rFonts w:ascii="Century Gothic" w:eastAsia="Times New Roman" w:hAnsi="Century Gothic" w:cs="Times New Roman"/>
          <w:kern w:val="0"/>
          <w:sz w:val="21"/>
          <w:szCs w:val="21"/>
          <w14:ligatures w14:val="none"/>
        </w:rPr>
        <w:t xml:space="preserve">2. </w:t>
      </w:r>
      <w:r w:rsidRPr="00C62B76">
        <w:rPr>
          <w:rFonts w:ascii="Century Gothic" w:eastAsia="Times New Roman" w:hAnsi="Century Gothic" w:cs="Times New Roman"/>
          <w:kern w:val="0"/>
          <w:sz w:val="21"/>
          <w:szCs w:val="21"/>
          <w:lang w:eastAsia="pl-PL"/>
          <w14:ligatures w14:val="none"/>
        </w:rPr>
        <w:t xml:space="preserve">Na podstawie art. 75 ust. 1 pkt 4 ustawy o udostępnieniu informacji o środowisku i jego ochronie, udziale społeczeństwa w ochronie środowiska oraz ocenach oddziaływania na środowisko, zwanej dalej ustawą </w:t>
      </w:r>
      <w:proofErr w:type="spellStart"/>
      <w:r w:rsidRPr="00C62B76">
        <w:rPr>
          <w:rFonts w:ascii="Century Gothic" w:eastAsia="Times New Roman" w:hAnsi="Century Gothic" w:cs="Times New Roman"/>
          <w:kern w:val="0"/>
          <w:sz w:val="21"/>
          <w:szCs w:val="21"/>
          <w:lang w:eastAsia="pl-PL"/>
          <w14:ligatures w14:val="none"/>
        </w:rPr>
        <w:t>ooś</w:t>
      </w:r>
      <w:proofErr w:type="spellEnd"/>
      <w:r w:rsidRPr="00C62B76">
        <w:rPr>
          <w:rFonts w:ascii="Century Gothic" w:eastAsia="Times New Roman" w:hAnsi="Century Gothic" w:cs="Times New Roman"/>
          <w:kern w:val="0"/>
          <w:sz w:val="21"/>
          <w:szCs w:val="21"/>
          <w:lang w:eastAsia="pl-PL"/>
          <w14:ligatures w14:val="none"/>
        </w:rPr>
        <w:t xml:space="preserve">, stwierdzono, że organem właściwym do wydania decyzji o środowiskowych uwarunkowaniach jest Wójt Gminy Gniezno. </w:t>
      </w:r>
    </w:p>
    <w:p w14:paraId="6FD34D4D" w14:textId="77777777" w:rsidR="00EA7EF3" w:rsidRPr="00C62B76" w:rsidRDefault="00EA7EF3" w:rsidP="00EA7EF3">
      <w:pPr>
        <w:spacing w:after="0" w:line="276" w:lineRule="auto"/>
        <w:jc w:val="both"/>
        <w:rPr>
          <w:rFonts w:ascii="Century Gothic" w:eastAsia="Times New Roman" w:hAnsi="Century Gothic" w:cs="Calibri"/>
          <w:bCs/>
          <w:kern w:val="0"/>
          <w:sz w:val="21"/>
          <w:szCs w:val="21"/>
          <w:lang w:eastAsia="pl-PL"/>
          <w14:ligatures w14:val="none"/>
        </w:rPr>
      </w:pPr>
      <w:r w:rsidRPr="00C62B76">
        <w:rPr>
          <w:rFonts w:ascii="Century Gothic" w:eastAsia="Times New Roman" w:hAnsi="Century Gothic" w:cs="Calibri"/>
          <w:kern w:val="0"/>
          <w:sz w:val="21"/>
          <w:szCs w:val="21"/>
          <w:lang w:eastAsia="pl-PL"/>
          <w14:ligatures w14:val="none"/>
        </w:rPr>
        <w:t xml:space="preserve">3. Planowane przedsięwzięcie należy do przedsięwzięć mogących potencjalnie znacząco oddziaływać na środowisko – wymienione jest w </w:t>
      </w:r>
      <w:r w:rsidRPr="00C62B76">
        <w:rPr>
          <w:rFonts w:ascii="Century Gothic" w:hAnsi="Century Gothic"/>
          <w:bCs/>
          <w:sz w:val="21"/>
          <w:szCs w:val="21"/>
        </w:rPr>
        <w:t xml:space="preserve">§ 3 ust. 1 pkt 55 lit. b </w:t>
      </w:r>
      <w:proofErr w:type="spellStart"/>
      <w:r w:rsidRPr="00C62B76">
        <w:rPr>
          <w:rFonts w:ascii="Century Gothic" w:hAnsi="Century Gothic"/>
          <w:bCs/>
          <w:sz w:val="21"/>
          <w:szCs w:val="21"/>
        </w:rPr>
        <w:t>tiret</w:t>
      </w:r>
      <w:proofErr w:type="spellEnd"/>
      <w:r w:rsidRPr="00C62B76">
        <w:rPr>
          <w:rFonts w:ascii="Century Gothic" w:hAnsi="Century Gothic"/>
          <w:bCs/>
          <w:sz w:val="21"/>
          <w:szCs w:val="21"/>
        </w:rPr>
        <w:t xml:space="preserve"> drugie </w:t>
      </w:r>
      <w:r w:rsidRPr="00C62B76">
        <w:rPr>
          <w:rFonts w:ascii="Century Gothic" w:eastAsia="Times New Roman" w:hAnsi="Century Gothic" w:cs="Calibri"/>
          <w:bCs/>
          <w:kern w:val="0"/>
          <w:sz w:val="21"/>
          <w:szCs w:val="21"/>
          <w:lang w:eastAsia="pl-PL"/>
          <w14:ligatures w14:val="none"/>
        </w:rPr>
        <w:t>Rozporządzenia Rady Ministrów z dnia 10 września 2019 r. w sprawie przedsięwzięć mogących znacząco oddziaływać na środowisko  /Dz. U. z 2019 r. poz. 1839/.</w:t>
      </w:r>
      <w:r w:rsidRPr="00C62B76">
        <w:rPr>
          <w:rFonts w:ascii="Century Gothic" w:eastAsia="Times New Roman" w:hAnsi="Century Gothic" w:cs="Calibri"/>
          <w:kern w:val="0"/>
          <w:sz w:val="21"/>
          <w:szCs w:val="21"/>
          <w:lang w:eastAsia="pl-PL"/>
          <w14:ligatures w14:val="none"/>
        </w:rPr>
        <w:t xml:space="preserve"> Wobec</w:t>
      </w:r>
      <w:r w:rsidRPr="00C62B76">
        <w:rPr>
          <w:rFonts w:ascii="Century Gothic" w:eastAsia="Times New Roman" w:hAnsi="Century Gothic" w:cs="Calibri"/>
          <w:spacing w:val="24"/>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powyż</w:t>
      </w:r>
      <w:r w:rsidRPr="00C62B76">
        <w:rPr>
          <w:rFonts w:ascii="Century Gothic" w:eastAsia="Times New Roman" w:hAnsi="Century Gothic" w:cs="Calibri"/>
          <w:spacing w:val="-17"/>
          <w:kern w:val="0"/>
          <w:sz w:val="21"/>
          <w:szCs w:val="21"/>
          <w:lang w:eastAsia="pl-PL"/>
          <w14:ligatures w14:val="none"/>
        </w:rPr>
        <w:t>s</w:t>
      </w:r>
      <w:r w:rsidRPr="00C62B76">
        <w:rPr>
          <w:rFonts w:ascii="Century Gothic" w:eastAsia="Times New Roman" w:hAnsi="Century Gothic" w:cs="Calibri"/>
          <w:kern w:val="0"/>
          <w:sz w:val="21"/>
          <w:szCs w:val="21"/>
          <w:lang w:eastAsia="pl-PL"/>
          <w14:ligatures w14:val="none"/>
        </w:rPr>
        <w:t>zego</w:t>
      </w:r>
      <w:r w:rsidRPr="00C62B76">
        <w:rPr>
          <w:rFonts w:ascii="Century Gothic" w:eastAsia="Times New Roman" w:hAnsi="Century Gothic" w:cs="Calibri"/>
          <w:spacing w:val="46"/>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przedmiotowe</w:t>
      </w:r>
      <w:r w:rsidRPr="00C62B76">
        <w:rPr>
          <w:rFonts w:ascii="Century Gothic" w:eastAsia="Times New Roman" w:hAnsi="Century Gothic" w:cs="Calibri"/>
          <w:spacing w:val="37"/>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przedsięwzięcie</w:t>
      </w:r>
      <w:r w:rsidRPr="00C62B76">
        <w:rPr>
          <w:rFonts w:ascii="Century Gothic" w:eastAsia="Times New Roman" w:hAnsi="Century Gothic" w:cs="Calibri"/>
          <w:spacing w:val="16"/>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zalicza</w:t>
      </w:r>
      <w:r w:rsidRPr="00C62B76">
        <w:rPr>
          <w:rFonts w:ascii="Century Gothic" w:eastAsia="Times New Roman" w:hAnsi="Century Gothic" w:cs="Calibri"/>
          <w:spacing w:val="13"/>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się do</w:t>
      </w:r>
      <w:r w:rsidRPr="00C62B76">
        <w:rPr>
          <w:rFonts w:ascii="Century Gothic" w:eastAsia="Times New Roman" w:hAnsi="Century Gothic" w:cs="Calibri"/>
          <w:spacing w:val="15"/>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przedsięwzięć</w:t>
      </w:r>
      <w:r w:rsidRPr="00C62B76">
        <w:rPr>
          <w:rFonts w:ascii="Century Gothic" w:eastAsia="Times New Roman" w:hAnsi="Century Gothic" w:cs="Calibri"/>
          <w:spacing w:val="17"/>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 xml:space="preserve">mogących potencjalnie </w:t>
      </w:r>
      <w:r w:rsidRPr="00C62B76">
        <w:rPr>
          <w:rFonts w:ascii="Century Gothic" w:eastAsia="Times New Roman" w:hAnsi="Century Gothic" w:cs="Calibri"/>
          <w:spacing w:val="7"/>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znacząco</w:t>
      </w:r>
      <w:r w:rsidRPr="00C62B76">
        <w:rPr>
          <w:rFonts w:ascii="Century Gothic" w:eastAsia="Times New Roman" w:hAnsi="Century Gothic" w:cs="Calibri"/>
          <w:spacing w:val="-18"/>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 xml:space="preserve">oddziaływać </w:t>
      </w:r>
      <w:r w:rsidRPr="00C62B76">
        <w:rPr>
          <w:rFonts w:ascii="Century Gothic" w:eastAsia="Times New Roman" w:hAnsi="Century Gothic" w:cs="Calibri"/>
          <w:spacing w:val="6"/>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na</w:t>
      </w:r>
      <w:r w:rsidRPr="00C62B76">
        <w:rPr>
          <w:rFonts w:ascii="Century Gothic" w:eastAsia="Times New Roman" w:hAnsi="Century Gothic" w:cs="Calibri"/>
          <w:spacing w:val="27"/>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środowisko,</w:t>
      </w:r>
      <w:r w:rsidRPr="00C62B76">
        <w:rPr>
          <w:rFonts w:ascii="Century Gothic" w:eastAsia="Times New Roman" w:hAnsi="Century Gothic" w:cs="Calibri"/>
          <w:spacing w:val="5"/>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dla</w:t>
      </w:r>
      <w:r w:rsidRPr="00C62B76">
        <w:rPr>
          <w:rFonts w:ascii="Century Gothic" w:eastAsia="Times New Roman" w:hAnsi="Century Gothic" w:cs="Calibri"/>
          <w:spacing w:val="42"/>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których</w:t>
      </w:r>
      <w:r w:rsidRPr="00C62B76">
        <w:rPr>
          <w:rFonts w:ascii="Century Gothic" w:eastAsia="Times New Roman" w:hAnsi="Century Gothic" w:cs="Calibri"/>
          <w:spacing w:val="48"/>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obowiązek</w:t>
      </w:r>
      <w:r w:rsidRPr="00C62B76">
        <w:rPr>
          <w:rFonts w:ascii="Century Gothic" w:eastAsia="Times New Roman" w:hAnsi="Century Gothic" w:cs="Calibri"/>
          <w:spacing w:val="-4"/>
          <w:kern w:val="0"/>
          <w:sz w:val="21"/>
          <w:szCs w:val="21"/>
          <w:lang w:eastAsia="pl-PL"/>
          <w14:ligatures w14:val="none"/>
        </w:rPr>
        <w:t xml:space="preserve"> </w:t>
      </w:r>
      <w:r w:rsidRPr="00C62B76">
        <w:rPr>
          <w:rFonts w:ascii="Century Gothic" w:eastAsia="Times New Roman" w:hAnsi="Century Gothic" w:cs="Calibri"/>
          <w:w w:val="102"/>
          <w:kern w:val="0"/>
          <w:sz w:val="21"/>
          <w:szCs w:val="21"/>
          <w:lang w:eastAsia="pl-PL"/>
          <w14:ligatures w14:val="none"/>
        </w:rPr>
        <w:t>przeprowa</w:t>
      </w:r>
      <w:r w:rsidRPr="00C62B76">
        <w:rPr>
          <w:rFonts w:ascii="Century Gothic" w:eastAsia="Times New Roman" w:hAnsi="Century Gothic" w:cs="Calibri"/>
          <w:spacing w:val="11"/>
          <w:w w:val="103"/>
          <w:kern w:val="0"/>
          <w:sz w:val="21"/>
          <w:szCs w:val="21"/>
          <w:lang w:eastAsia="pl-PL"/>
          <w14:ligatures w14:val="none"/>
        </w:rPr>
        <w:t>d</w:t>
      </w:r>
      <w:r w:rsidRPr="00C62B76">
        <w:rPr>
          <w:rFonts w:ascii="Century Gothic" w:eastAsia="Times New Roman" w:hAnsi="Century Gothic" w:cs="Calibri"/>
          <w:w w:val="107"/>
          <w:kern w:val="0"/>
          <w:sz w:val="21"/>
          <w:szCs w:val="21"/>
          <w:lang w:eastAsia="pl-PL"/>
          <w14:ligatures w14:val="none"/>
        </w:rPr>
        <w:t>z</w:t>
      </w:r>
      <w:r w:rsidRPr="00C62B76">
        <w:rPr>
          <w:rFonts w:ascii="Century Gothic" w:eastAsia="Times New Roman" w:hAnsi="Century Gothic" w:cs="Calibri"/>
          <w:spacing w:val="-3"/>
          <w:w w:val="107"/>
          <w:kern w:val="0"/>
          <w:sz w:val="21"/>
          <w:szCs w:val="21"/>
          <w:lang w:eastAsia="pl-PL"/>
          <w14:ligatures w14:val="none"/>
        </w:rPr>
        <w:t>e</w:t>
      </w:r>
      <w:r w:rsidRPr="00C62B76">
        <w:rPr>
          <w:rFonts w:ascii="Century Gothic" w:eastAsia="Times New Roman" w:hAnsi="Century Gothic" w:cs="Calibri"/>
          <w:w w:val="99"/>
          <w:kern w:val="0"/>
          <w:sz w:val="21"/>
          <w:szCs w:val="21"/>
          <w:lang w:eastAsia="pl-PL"/>
          <w14:ligatures w14:val="none"/>
        </w:rPr>
        <w:t xml:space="preserve">nia </w:t>
      </w:r>
      <w:r w:rsidRPr="00C62B76">
        <w:rPr>
          <w:rFonts w:ascii="Century Gothic" w:eastAsia="Times New Roman" w:hAnsi="Century Gothic" w:cs="Calibri"/>
          <w:kern w:val="0"/>
          <w:sz w:val="21"/>
          <w:szCs w:val="21"/>
          <w:lang w:eastAsia="pl-PL"/>
          <w14:ligatures w14:val="none"/>
        </w:rPr>
        <w:t>oceny</w:t>
      </w:r>
      <w:r w:rsidRPr="00C62B76">
        <w:rPr>
          <w:rFonts w:ascii="Century Gothic" w:eastAsia="Times New Roman" w:hAnsi="Century Gothic" w:cs="Calibri"/>
          <w:spacing w:val="22"/>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oddziaływania</w:t>
      </w:r>
      <w:r w:rsidRPr="00C62B76">
        <w:rPr>
          <w:rFonts w:ascii="Century Gothic" w:eastAsia="Times New Roman" w:hAnsi="Century Gothic" w:cs="Calibri"/>
          <w:spacing w:val="45"/>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na środowisko</w:t>
      </w:r>
      <w:r w:rsidRPr="00C62B76">
        <w:rPr>
          <w:rFonts w:ascii="Century Gothic" w:eastAsia="Times New Roman" w:hAnsi="Century Gothic" w:cs="Calibri"/>
          <w:spacing w:val="40"/>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może</w:t>
      </w:r>
      <w:r w:rsidRPr="00C62B76">
        <w:rPr>
          <w:rFonts w:ascii="Century Gothic" w:eastAsia="Times New Roman" w:hAnsi="Century Gothic" w:cs="Calibri"/>
          <w:spacing w:val="26"/>
          <w:kern w:val="0"/>
          <w:sz w:val="21"/>
          <w:szCs w:val="21"/>
          <w:lang w:eastAsia="pl-PL"/>
          <w14:ligatures w14:val="none"/>
        </w:rPr>
        <w:t xml:space="preserve"> </w:t>
      </w:r>
      <w:r w:rsidRPr="00C62B76">
        <w:rPr>
          <w:rFonts w:ascii="Century Gothic" w:eastAsia="Times New Roman" w:hAnsi="Century Gothic" w:cs="Calibri"/>
          <w:kern w:val="0"/>
          <w:sz w:val="21"/>
          <w:szCs w:val="21"/>
          <w:lang w:eastAsia="pl-PL"/>
          <w14:ligatures w14:val="none"/>
        </w:rPr>
        <w:t>być</w:t>
      </w:r>
      <w:r w:rsidRPr="00C62B76">
        <w:rPr>
          <w:rFonts w:ascii="Century Gothic" w:eastAsia="Times New Roman" w:hAnsi="Century Gothic" w:cs="Calibri"/>
          <w:spacing w:val="-4"/>
          <w:kern w:val="0"/>
          <w:sz w:val="21"/>
          <w:szCs w:val="21"/>
          <w:lang w:eastAsia="pl-PL"/>
          <w14:ligatures w14:val="none"/>
        </w:rPr>
        <w:t xml:space="preserve"> </w:t>
      </w:r>
      <w:r w:rsidRPr="00C62B76">
        <w:rPr>
          <w:rFonts w:ascii="Century Gothic" w:eastAsia="Times New Roman" w:hAnsi="Century Gothic" w:cs="Calibri"/>
          <w:w w:val="103"/>
          <w:kern w:val="0"/>
          <w:sz w:val="21"/>
          <w:szCs w:val="21"/>
          <w:lang w:eastAsia="pl-PL"/>
          <w14:ligatures w14:val="none"/>
        </w:rPr>
        <w:t>stwierdzony.</w:t>
      </w:r>
    </w:p>
    <w:p w14:paraId="18496CD9" w14:textId="77777777" w:rsidR="00EA7EF3" w:rsidRPr="00C62B76" w:rsidRDefault="00EA7EF3" w:rsidP="00EA7EF3">
      <w:pPr>
        <w:spacing w:after="0" w:line="276" w:lineRule="auto"/>
        <w:jc w:val="both"/>
        <w:rPr>
          <w:rFonts w:ascii="Century Gothic" w:eastAsia="Calibri" w:hAnsi="Century Gothic" w:cs="Calibri"/>
          <w:kern w:val="0"/>
          <w:sz w:val="21"/>
          <w:szCs w:val="21"/>
          <w:lang w:eastAsia="pl-PL"/>
          <w14:ligatures w14:val="none"/>
        </w:rPr>
      </w:pPr>
      <w:r w:rsidRPr="00C62B76">
        <w:rPr>
          <w:rFonts w:ascii="Century Gothic" w:eastAsia="Calibri" w:hAnsi="Century Gothic" w:cs="Calibri"/>
          <w:kern w:val="0"/>
          <w:sz w:val="21"/>
          <w:szCs w:val="21"/>
          <w:lang w:eastAsia="pl-PL"/>
          <w14:ligatures w14:val="none"/>
        </w:rPr>
        <w:t xml:space="preserve">4. Dane o wniosku zostały zamieszczone w publicznie dostępnym wykazie danych, </w:t>
      </w:r>
      <w:r w:rsidRPr="00C62B76">
        <w:rPr>
          <w:rFonts w:ascii="Century Gothic" w:eastAsia="Calibri" w:hAnsi="Century Gothic" w:cs="Calibri"/>
          <w:kern w:val="0"/>
          <w:sz w:val="21"/>
          <w:szCs w:val="21"/>
          <w:lang w:eastAsia="pl-PL"/>
          <w14:ligatures w14:val="none"/>
        </w:rPr>
        <w:br/>
        <w:t>z którym można się zapoznać w Urzędzie Gminy Gniezno, al. Reymonta 9-11, pokój nr 9, w godzinach urzędowania oraz na stronie internetowej www.ekoportal.gov.pl – centrum informacji o środowisku.</w:t>
      </w:r>
    </w:p>
    <w:p w14:paraId="53E18DA2" w14:textId="77777777" w:rsidR="00EA7EF3" w:rsidRPr="00C62B76" w:rsidRDefault="00EA7EF3" w:rsidP="00EA7EF3">
      <w:pPr>
        <w:spacing w:after="0" w:line="276" w:lineRule="auto"/>
        <w:jc w:val="both"/>
        <w:rPr>
          <w:rFonts w:ascii="Century Gothic" w:eastAsia="Times New Roman" w:hAnsi="Century Gothic" w:cs="Times New Roman"/>
          <w:b/>
          <w:kern w:val="0"/>
          <w:sz w:val="21"/>
          <w:szCs w:val="21"/>
          <w14:ligatures w14:val="none"/>
        </w:rPr>
      </w:pPr>
      <w:r w:rsidRPr="00C62B76">
        <w:rPr>
          <w:rFonts w:ascii="Century Gothic" w:eastAsia="Times New Roman" w:hAnsi="Century Gothic" w:cs="Calibri"/>
          <w:w w:val="103"/>
          <w:kern w:val="0"/>
          <w:sz w:val="21"/>
          <w:szCs w:val="21"/>
          <w14:ligatures w14:val="none"/>
        </w:rPr>
        <w:t xml:space="preserve">5. </w:t>
      </w:r>
      <w:r w:rsidRPr="00C62B76">
        <w:rPr>
          <w:rFonts w:ascii="Century Gothic" w:hAnsi="Century Gothic" w:cs="Calibri"/>
          <w:w w:val="103"/>
          <w:sz w:val="21"/>
          <w:szCs w:val="21"/>
        </w:rPr>
        <w:t>W związku</w:t>
      </w:r>
      <w:r w:rsidRPr="00C62B76">
        <w:rPr>
          <w:rFonts w:ascii="Century Gothic" w:hAnsi="Century Gothic"/>
          <w:sz w:val="21"/>
          <w:szCs w:val="21"/>
        </w:rPr>
        <w:t xml:space="preserve"> z tym, iż liczba stron przedmiotowego postępowania przekraczała 10, Wójt Gminy Gniezno zawiadomił strony postępowania administracyjnego w formie Obwieszczenia (znak OŚR. 6220.1.2025 z dnia 9 stycznia 2025 r.) o wszczętym w dniu 3 stycznia 2025 r. postępowaniu w sprawie wydania decyzji o środowiskowych uwarunkowaniach dla wnioskowanego przedsięwzięcia informując o możliwości zapoznania się z aktami sprawy.</w:t>
      </w:r>
    </w:p>
    <w:p w14:paraId="0F0360AA" w14:textId="77777777" w:rsidR="00EA7EF3" w:rsidRPr="00C62B76" w:rsidRDefault="00EA7EF3" w:rsidP="00EA7EF3">
      <w:pPr>
        <w:spacing w:after="0" w:line="276" w:lineRule="auto"/>
        <w:jc w:val="both"/>
        <w:rPr>
          <w:rFonts w:ascii="Century Gothic" w:eastAsia="Calibri" w:hAnsi="Century Gothic" w:cs="Calibri"/>
          <w:sz w:val="21"/>
          <w:szCs w:val="21"/>
        </w:rPr>
      </w:pPr>
      <w:r w:rsidRPr="00C62B76">
        <w:rPr>
          <w:rFonts w:ascii="Century Gothic" w:eastAsia="Calibri" w:hAnsi="Century Gothic" w:cs="Calibri"/>
          <w:kern w:val="0"/>
          <w:sz w:val="21"/>
          <w:szCs w:val="21"/>
          <w:lang w:eastAsia="pl-PL"/>
          <w14:ligatures w14:val="none"/>
        </w:rPr>
        <w:t xml:space="preserve">6. Zgodnie </w:t>
      </w:r>
      <w:r w:rsidRPr="00C62B76">
        <w:rPr>
          <w:rFonts w:ascii="Century Gothic" w:eastAsia="Calibri" w:hAnsi="Century Gothic" w:cs="Calibri"/>
          <w:sz w:val="21"/>
          <w:szCs w:val="21"/>
        </w:rPr>
        <w:t xml:space="preserve">z art. 64 ust. 1 pkt 1, 2 i 4, ust. 2, 3 i 4 ustawy z dnia 3 października </w:t>
      </w:r>
      <w:r w:rsidRPr="00C62B76">
        <w:rPr>
          <w:rFonts w:ascii="Century Gothic" w:eastAsia="Calibri" w:hAnsi="Century Gothic" w:cs="Calibri"/>
          <w:bCs/>
          <w:sz w:val="21"/>
          <w:szCs w:val="21"/>
        </w:rPr>
        <w:t>2008 roku o udostępnianiu informacji o środowisku i jego ochronie, udziale społeczeństwa w ochronie środowiska oraz o ocenach oddziaływania na środowisko</w:t>
      </w:r>
      <w:r w:rsidRPr="00C62B76">
        <w:rPr>
          <w:rFonts w:ascii="Century Gothic" w:eastAsia="Calibri" w:hAnsi="Century Gothic" w:cs="Calibri"/>
          <w:sz w:val="21"/>
          <w:szCs w:val="21"/>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w:t>
      </w:r>
      <w:r w:rsidRPr="00C62B76">
        <w:rPr>
          <w:rFonts w:ascii="Century Gothic" w:eastAsia="Times New Roman" w:hAnsi="Century Gothic" w:cs="Calibri"/>
          <w:sz w:val="21"/>
          <w:szCs w:val="21"/>
        </w:rPr>
        <w:t>Organy te wydały opinie/postanowienia stwierdzające brak potrzeby przeprowadzania oceny oddziaływania przedmiotowego przedsięwzięcia na środowisko (brak potrzeby wykonania raportu dla ww. przedsięwzięcia). Poniżej przedmiotowe opinie/ postanowienia:</w:t>
      </w:r>
    </w:p>
    <w:p w14:paraId="0FA000F3" w14:textId="77777777" w:rsidR="00EA7EF3" w:rsidRPr="00C62B76" w:rsidRDefault="00EA7EF3" w:rsidP="00EA7EF3">
      <w:pPr>
        <w:numPr>
          <w:ilvl w:val="0"/>
          <w:numId w:val="3"/>
        </w:numPr>
        <w:spacing w:after="0" w:line="276" w:lineRule="auto"/>
        <w:jc w:val="both"/>
        <w:rPr>
          <w:rFonts w:ascii="Century Gothic" w:hAnsi="Century Gothic" w:cs="Calibri"/>
          <w:sz w:val="21"/>
          <w:szCs w:val="21"/>
          <w:lang w:eastAsia="pl-PL"/>
        </w:rPr>
      </w:pPr>
      <w:r w:rsidRPr="00C62B76">
        <w:rPr>
          <w:rFonts w:ascii="Century Gothic" w:hAnsi="Century Gothic" w:cs="Calibri"/>
          <w:sz w:val="21"/>
          <w:szCs w:val="21"/>
          <w:lang w:eastAsia="pl-PL"/>
        </w:rPr>
        <w:t xml:space="preserve">Postanowienie Regionalnego Dyrektora Ochrony Środowiska w Poznaniu z dnia 9 maja 2025 r. znak WOO-IV.4220.54.2025.SS.4 (data wpływu 12.05.2025 r.), </w:t>
      </w:r>
    </w:p>
    <w:p w14:paraId="08511DAF" w14:textId="77777777" w:rsidR="00EA7EF3" w:rsidRPr="00C62B76" w:rsidRDefault="00EA7EF3" w:rsidP="00EA7EF3">
      <w:pPr>
        <w:numPr>
          <w:ilvl w:val="0"/>
          <w:numId w:val="3"/>
        </w:numPr>
        <w:spacing w:after="0" w:line="276" w:lineRule="auto"/>
        <w:jc w:val="both"/>
        <w:rPr>
          <w:rFonts w:ascii="Century Gothic" w:hAnsi="Century Gothic" w:cs="Calibri"/>
          <w:sz w:val="21"/>
          <w:szCs w:val="21"/>
          <w:lang w:eastAsia="pl-PL"/>
        </w:rPr>
      </w:pPr>
      <w:r w:rsidRPr="00C62B76">
        <w:rPr>
          <w:rFonts w:ascii="Century Gothic" w:hAnsi="Century Gothic" w:cs="Calibri"/>
          <w:sz w:val="21"/>
          <w:szCs w:val="21"/>
          <w:lang w:eastAsia="pl-PL"/>
        </w:rPr>
        <w:t xml:space="preserve">Opinia sanitarna Państwowego Powiatowego Inspektora Sanitarnego w Gnieźnie z dnia 28 stycznia 2025 r. </w:t>
      </w:r>
      <w:bookmarkStart w:id="1" w:name="_Hlk187313243"/>
      <w:r w:rsidRPr="00C62B76">
        <w:rPr>
          <w:rFonts w:ascii="Century Gothic" w:hAnsi="Century Gothic" w:cs="Calibri"/>
          <w:sz w:val="21"/>
          <w:szCs w:val="21"/>
          <w:lang w:eastAsia="pl-PL"/>
        </w:rPr>
        <w:t xml:space="preserve">znak ON-NS.9022.5.3.2025 (data wpływu 29.01.2025 r.), </w:t>
      </w:r>
      <w:bookmarkEnd w:id="1"/>
      <w:r w:rsidRPr="00C62B76">
        <w:rPr>
          <w:rFonts w:ascii="Century Gothic" w:hAnsi="Century Gothic" w:cs="Calibri"/>
          <w:sz w:val="21"/>
          <w:szCs w:val="21"/>
          <w:lang w:eastAsia="pl-PL"/>
        </w:rPr>
        <w:t xml:space="preserve">podtrzymana Postanowieniem </w:t>
      </w:r>
      <w:r w:rsidRPr="00C62B76">
        <w:rPr>
          <w:rFonts w:ascii="Century Gothic" w:eastAsia="Times New Roman" w:hAnsi="Century Gothic" w:cs="Calibri"/>
          <w:kern w:val="0"/>
          <w:sz w:val="21"/>
          <w:szCs w:val="21"/>
          <w:lang w:eastAsia="pl-PL"/>
          <w14:ligatures w14:val="none"/>
        </w:rPr>
        <w:t xml:space="preserve">z dnia 2 kwietnia 2025 r. </w:t>
      </w:r>
      <w:r w:rsidRPr="00C62B76">
        <w:rPr>
          <w:rFonts w:ascii="Century Gothic" w:hAnsi="Century Gothic" w:cs="Calibri"/>
          <w:sz w:val="21"/>
          <w:szCs w:val="21"/>
          <w:lang w:eastAsia="pl-PL"/>
        </w:rPr>
        <w:t>znak ON-NS.9022.5.3.2025 (data wpływu 2.04.2025 r.),</w:t>
      </w:r>
    </w:p>
    <w:p w14:paraId="2AEC66EB" w14:textId="77777777" w:rsidR="00EA7EF3" w:rsidRPr="00C62B76" w:rsidRDefault="00EA7EF3" w:rsidP="00EA7EF3">
      <w:pPr>
        <w:numPr>
          <w:ilvl w:val="0"/>
          <w:numId w:val="3"/>
        </w:numPr>
        <w:spacing w:after="0" w:line="276" w:lineRule="auto"/>
        <w:jc w:val="both"/>
        <w:rPr>
          <w:rFonts w:ascii="Century Gothic" w:eastAsia="Times New Roman" w:hAnsi="Century Gothic" w:cs="Calibri"/>
          <w:kern w:val="0"/>
          <w:sz w:val="21"/>
          <w:szCs w:val="21"/>
          <w:lang w:eastAsia="pl-PL"/>
          <w14:ligatures w14:val="none"/>
        </w:rPr>
      </w:pPr>
      <w:r w:rsidRPr="00C62B76">
        <w:rPr>
          <w:rFonts w:ascii="Century Gothic" w:hAnsi="Century Gothic" w:cs="Calibri"/>
          <w:sz w:val="21"/>
          <w:szCs w:val="21"/>
          <w:lang w:eastAsia="pl-PL"/>
        </w:rPr>
        <w:t xml:space="preserve">Opinia Dyrektora Zarządu Zlewni Wód Polskich w Poznaniu z dnia 17 stycznia 2025 r. znak PZ.ZZŚ.4901.16.2025.AR.1 (data wpływu 20.01.2025 r.),podtrzymana </w:t>
      </w:r>
      <w:r w:rsidRPr="00C62B76">
        <w:rPr>
          <w:rFonts w:ascii="Century Gothic" w:eastAsia="Times New Roman" w:hAnsi="Century Gothic" w:cs="Calibri"/>
          <w:kern w:val="0"/>
          <w:sz w:val="21"/>
          <w:szCs w:val="21"/>
          <w:lang w:eastAsia="pl-PL"/>
          <w14:ligatures w14:val="none"/>
        </w:rPr>
        <w:t xml:space="preserve">pismem z dnia 3 kwietnia 2025 r., znak </w:t>
      </w:r>
      <w:r w:rsidRPr="00C62B76">
        <w:rPr>
          <w:rFonts w:ascii="Century Gothic" w:hAnsi="Century Gothic" w:cs="Calibri"/>
          <w:sz w:val="21"/>
          <w:szCs w:val="21"/>
          <w:lang w:eastAsia="pl-PL"/>
        </w:rPr>
        <w:t>PZ.ZZŚ.4901.16.2025.AR.2 (data wpływu 4.04.2025 r.),</w:t>
      </w:r>
    </w:p>
    <w:p w14:paraId="4A34FC85" w14:textId="77777777" w:rsidR="00EA7EF3" w:rsidRPr="00C62B76" w:rsidRDefault="00EA7EF3" w:rsidP="00EA7EF3">
      <w:pPr>
        <w:spacing w:after="0" w:line="276" w:lineRule="auto"/>
        <w:ind w:left="720"/>
        <w:jc w:val="both"/>
        <w:rPr>
          <w:rFonts w:ascii="Century Gothic" w:eastAsia="Times New Roman" w:hAnsi="Century Gothic" w:cs="Calibri"/>
          <w:kern w:val="0"/>
          <w:sz w:val="21"/>
          <w:szCs w:val="21"/>
          <w:lang w:eastAsia="pl-PL"/>
          <w14:ligatures w14:val="none"/>
        </w:rPr>
      </w:pPr>
      <w:r w:rsidRPr="00C62B76">
        <w:rPr>
          <w:rFonts w:ascii="Century Gothic" w:eastAsia="Times New Roman" w:hAnsi="Century Gothic" w:cs="Calibri"/>
          <w:kern w:val="0"/>
          <w:sz w:val="21"/>
          <w:szCs w:val="21"/>
          <w:lang w:eastAsia="pl-PL"/>
          <w14:ligatures w14:val="none"/>
        </w:rPr>
        <w:t xml:space="preserve">Warunki i wymagania określone w ww. dokumentach zostały uwzględnione w sentencji niniejszej decyzji. </w:t>
      </w:r>
    </w:p>
    <w:p w14:paraId="6DC8482A" w14:textId="77777777" w:rsidR="00EA7EF3" w:rsidRPr="00C62B76" w:rsidRDefault="00EA7EF3" w:rsidP="00EA7EF3">
      <w:pPr>
        <w:spacing w:after="0" w:line="276" w:lineRule="auto"/>
        <w:jc w:val="both"/>
        <w:rPr>
          <w:rFonts w:ascii="Century Gothic" w:eastAsia="Arial" w:hAnsi="Century Gothic" w:cs="Arial"/>
          <w:sz w:val="21"/>
          <w:szCs w:val="21"/>
        </w:rPr>
      </w:pPr>
      <w:r w:rsidRPr="00C62B76">
        <w:rPr>
          <w:rFonts w:ascii="Century Gothic" w:eastAsia="Times New Roman" w:hAnsi="Century Gothic" w:cs="Calibri"/>
          <w:kern w:val="0"/>
          <w:sz w:val="21"/>
          <w:szCs w:val="21"/>
          <w:lang w:eastAsia="pl-PL"/>
          <w14:ligatures w14:val="none"/>
        </w:rPr>
        <w:lastRenderedPageBreak/>
        <w:t xml:space="preserve">7. </w:t>
      </w:r>
      <w:r w:rsidRPr="00C62B76">
        <w:rPr>
          <w:rFonts w:ascii="Century Gothic" w:hAnsi="Century Gothic"/>
          <w:sz w:val="21"/>
          <w:szCs w:val="21"/>
          <w:lang w:eastAsia="pl-PL"/>
        </w:rPr>
        <w:t>Pismem znak WOO-IV.4220.54.2025.SS.2 z dnia 12 lutego 2025 r. (data wpływu 12.02.2025 r.) Regionalny Dyrektor Ochrony Środowiska w Poznaniu zwrócił</w:t>
      </w:r>
      <w:r w:rsidRPr="00C62B76">
        <w:rPr>
          <w:rFonts w:ascii="Century Gothic" w:hAnsi="Century Gothic" w:cs="Arial"/>
          <w:sz w:val="21"/>
          <w:szCs w:val="21"/>
        </w:rPr>
        <w:t xml:space="preserve"> się do Wójta Gminy Gniezno o potwierdzenie informacji na temat faktycznego zagospodarowania terenu w otoczeniu przedsięwzięcia oraz do wezwania wnioskodawcy do uzupełnienia karty informacyjnej przedsięwzięcia, określając jednocześnie zakres wezwania. </w:t>
      </w:r>
      <w:r w:rsidRPr="00C62B76">
        <w:rPr>
          <w:rFonts w:ascii="Century Gothic" w:eastAsia="Arial" w:hAnsi="Century Gothic" w:cs="Arial"/>
          <w:sz w:val="21"/>
          <w:szCs w:val="21"/>
        </w:rPr>
        <w:t>Wymagane uzupełnienie</w:t>
      </w:r>
      <w:r>
        <w:rPr>
          <w:rFonts w:ascii="Century Gothic" w:eastAsia="Arial" w:hAnsi="Century Gothic" w:cs="Arial"/>
          <w:sz w:val="21"/>
          <w:szCs w:val="21"/>
        </w:rPr>
        <w:t xml:space="preserve"> przesłane przez Inwestora,</w:t>
      </w:r>
      <w:r w:rsidRPr="00C62B76">
        <w:rPr>
          <w:rFonts w:ascii="Century Gothic" w:eastAsia="Arial" w:hAnsi="Century Gothic" w:cs="Arial"/>
          <w:sz w:val="21"/>
          <w:szCs w:val="21"/>
        </w:rPr>
        <w:t xml:space="preserve"> Wójt Gminy Gniezno przekazał Regionalnemu Dyrektorowi Ochrony Środowiska w Poznaniu pismem z dnia 25 marca 2025 r. znak OŚR.6220.1.2025. Uzupełnienia karty informacyjnej przedsięwzięcia zostały również przekazane do PPIS w Gnieźnie oraz Dyrektora Zarządu Zlewni Wód Polskich w Poznaniu.</w:t>
      </w:r>
    </w:p>
    <w:p w14:paraId="378568E5" w14:textId="77777777" w:rsidR="00EA7EF3" w:rsidRPr="00C62B76" w:rsidRDefault="00EA7EF3" w:rsidP="00EA7EF3">
      <w:pPr>
        <w:spacing w:after="0" w:line="276" w:lineRule="auto"/>
        <w:jc w:val="both"/>
        <w:rPr>
          <w:rFonts w:ascii="Century Gothic" w:hAnsi="Century Gothic"/>
          <w:sz w:val="21"/>
          <w:szCs w:val="21"/>
          <w:lang w:eastAsia="pl-PL"/>
        </w:rPr>
      </w:pPr>
      <w:r w:rsidRPr="00C62B76">
        <w:rPr>
          <w:rFonts w:ascii="Century Gothic" w:eastAsia="Arial" w:hAnsi="Century Gothic" w:cs="Arial"/>
          <w:sz w:val="21"/>
          <w:szCs w:val="21"/>
        </w:rPr>
        <w:t xml:space="preserve">8. Wójt Gminy Gniezno w trakcie postępowania informował strony postępowania Obwieszczeniem nr OŚR.6220.1.2025 z dnia 17 lutego 2025 r. i Obwieszczeniem nr OŚR.6220.1.2025 z dnia 29 kwietnia 2025 r., że decyzja o środowiskowych uwarunkowaniach dla przedmiotowego przedsięwzięcia nie może być wydana w terminie określonym w art. 35 kodeksu postępowania administracyjnego, podając jednocześnie przewidywany termin jej wydania. </w:t>
      </w:r>
    </w:p>
    <w:p w14:paraId="1415F9ED" w14:textId="77777777" w:rsidR="00EA7EF3" w:rsidRPr="00C62B76" w:rsidRDefault="00EA7EF3" w:rsidP="00EA7EF3">
      <w:pPr>
        <w:spacing w:after="0" w:line="276" w:lineRule="auto"/>
        <w:jc w:val="both"/>
        <w:rPr>
          <w:rFonts w:ascii="Century Gothic" w:eastAsia="Times New Roman" w:hAnsi="Century Gothic" w:cs="Calibri"/>
          <w:kern w:val="0"/>
          <w:sz w:val="21"/>
          <w:szCs w:val="21"/>
          <w:lang w:eastAsia="pl-PL"/>
          <w14:ligatures w14:val="none"/>
        </w:rPr>
      </w:pPr>
      <w:r w:rsidRPr="00C62B76">
        <w:rPr>
          <w:rFonts w:ascii="Century Gothic" w:eastAsia="Times New Roman" w:hAnsi="Century Gothic" w:cs="Calibri"/>
          <w:kern w:val="0"/>
          <w:sz w:val="21"/>
          <w:szCs w:val="21"/>
          <w:lang w:eastAsia="pl-PL"/>
          <w14:ligatures w14:val="none"/>
        </w:rPr>
        <w:t>9. Wójt Gminy Gniezno na podstawie wniosku, karty informacyjnej przedsięwzięcia,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a przede wszystkim takich cech przedsięwzięcia jak:</w:t>
      </w:r>
    </w:p>
    <w:p w14:paraId="2A21BFAF" w14:textId="77777777" w:rsidR="00EA7EF3" w:rsidRPr="00894E41" w:rsidRDefault="00EA7EF3" w:rsidP="00EA7EF3">
      <w:pPr>
        <w:numPr>
          <w:ilvl w:val="0"/>
          <w:numId w:val="4"/>
        </w:numPr>
        <w:spacing w:after="0" w:line="276" w:lineRule="auto"/>
        <w:jc w:val="both"/>
        <w:rPr>
          <w:rFonts w:ascii="Century Gothic" w:eastAsia="Times New Roman" w:hAnsi="Century Gothic" w:cs="Calibri"/>
          <w:bCs/>
          <w:kern w:val="0"/>
          <w:sz w:val="21"/>
          <w:szCs w:val="21"/>
          <w14:ligatures w14:val="none"/>
        </w:rPr>
      </w:pPr>
      <w:r w:rsidRPr="00C62B76">
        <w:rPr>
          <w:rFonts w:ascii="Century Gothic" w:eastAsia="Times New Roman" w:hAnsi="Century Gothic" w:cs="Calibri"/>
          <w:b/>
          <w:i/>
          <w:kern w:val="0"/>
          <w:sz w:val="21"/>
          <w:szCs w:val="21"/>
          <w:lang w:eastAsia="pl-PL"/>
          <w14:ligatures w14:val="none"/>
        </w:rPr>
        <w:t xml:space="preserve">rodzaj i charakterystyka przedsięwzięcia </w:t>
      </w:r>
      <w:r w:rsidRPr="00C62B76">
        <w:rPr>
          <w:rFonts w:ascii="Century Gothic" w:eastAsia="Times New Roman" w:hAnsi="Century Gothic" w:cs="Calibri"/>
          <w:i/>
          <w:kern w:val="0"/>
          <w:sz w:val="21"/>
          <w:szCs w:val="21"/>
          <w:lang w:eastAsia="pl-PL"/>
          <w14:ligatures w14:val="none"/>
        </w:rPr>
        <w:t xml:space="preserve">(art. 63 ust. 1 pkt 1 ustawy </w:t>
      </w:r>
      <w:proofErr w:type="spellStart"/>
      <w:r w:rsidRPr="00C62B76">
        <w:rPr>
          <w:rFonts w:ascii="Century Gothic" w:eastAsia="Times New Roman" w:hAnsi="Century Gothic" w:cs="Calibri"/>
          <w:i/>
          <w:kern w:val="0"/>
          <w:sz w:val="21"/>
          <w:szCs w:val="21"/>
          <w:lang w:eastAsia="pl-PL"/>
          <w14:ligatures w14:val="none"/>
        </w:rPr>
        <w:t>ooś</w:t>
      </w:r>
      <w:proofErr w:type="spellEnd"/>
      <w:r w:rsidRPr="00C62B76">
        <w:rPr>
          <w:rFonts w:ascii="Century Gothic" w:eastAsia="Times New Roman" w:hAnsi="Century Gothic" w:cs="Calibri"/>
          <w:i/>
          <w:kern w:val="0"/>
          <w:sz w:val="21"/>
          <w:szCs w:val="21"/>
          <w:lang w:eastAsia="pl-PL"/>
          <w14:ligatures w14:val="none"/>
        </w:rPr>
        <w:t>)</w:t>
      </w:r>
      <w:r w:rsidRPr="00C62B76">
        <w:rPr>
          <w:rFonts w:ascii="Century Gothic" w:eastAsia="Times New Roman" w:hAnsi="Century Gothic" w:cs="Calibri"/>
          <w:kern w:val="0"/>
          <w:sz w:val="21"/>
          <w:szCs w:val="21"/>
          <w:lang w:eastAsia="pl-PL"/>
          <w14:ligatures w14:val="none"/>
        </w:rPr>
        <w:t xml:space="preserve"> - planowane</w:t>
      </w:r>
      <w:r w:rsidRPr="00C62B76">
        <w:rPr>
          <w:rFonts w:ascii="Century Gothic" w:eastAsia="Times New Roman" w:hAnsi="Century Gothic" w:cs="Calibri"/>
          <w:bCs/>
          <w:kern w:val="0"/>
          <w:sz w:val="21"/>
          <w:szCs w:val="21"/>
          <w14:ligatures w14:val="none"/>
        </w:rPr>
        <w:t xml:space="preserve"> przedsięwzięcie polegać będzie na budowie zespołu budynków mieszkalnych jednorodzinnych wraz z towarzyszącą infrastrukturą techniczną w miejscowości Kalina, Gmina Gniezno, działki nr 16/1, 16/2, 16/3, 16/4, 16/5, 16/6, 16/7, 16/8, 16/9 i 16/10. </w:t>
      </w:r>
      <w:r w:rsidRPr="003C7334">
        <w:rPr>
          <w:rFonts w:ascii="Century Gothic" w:eastAsia="Times New Roman" w:hAnsi="Century Gothic" w:cs="Calibri"/>
          <w:bCs/>
          <w:kern w:val="0"/>
          <w:sz w:val="21"/>
          <w:szCs w:val="21"/>
          <w14:ligatures w14:val="none"/>
        </w:rPr>
        <w:t>Powierzchnia ww. działek wynosi 3,48 ha i zostanie ona w całości przekształcona pod zabudowę mieszkaniową. Teren przedmiotowego przedsięwzięcia znajduje się na gruncie stanowiącym grunty rolne o klasie bonitacyjnej gleby RV. Obecnie teren planowanej inwestycji nie jest wykorzystywany rolniczo.</w:t>
      </w:r>
      <w:r w:rsidRPr="00894E41">
        <w:rPr>
          <w:rFonts w:ascii="Century Gothic" w:eastAsia="Times New Roman" w:hAnsi="Century Gothic" w:cs="Calibri"/>
          <w:bCs/>
          <w:kern w:val="0"/>
          <w:sz w:val="21"/>
          <w:szCs w:val="21"/>
          <w14:ligatures w14:val="none"/>
        </w:rPr>
        <w:t xml:space="preserve"> </w:t>
      </w:r>
      <w:r w:rsidRPr="003C7334">
        <w:rPr>
          <w:rFonts w:ascii="Century Gothic" w:eastAsia="Times New Roman" w:hAnsi="Century Gothic" w:cs="Calibri"/>
          <w:bCs/>
          <w:kern w:val="0"/>
          <w:sz w:val="21"/>
          <w:szCs w:val="21"/>
          <w14:ligatures w14:val="none"/>
        </w:rPr>
        <w:t>Planowane jest posadowienie na przedmiotowych działkach do 32 budynków mieszkalnych</w:t>
      </w:r>
      <w:r w:rsidRPr="00894E41">
        <w:rPr>
          <w:rFonts w:ascii="Century Gothic" w:eastAsia="Times New Roman" w:hAnsi="Century Gothic" w:cs="Calibri"/>
          <w:bCs/>
          <w:kern w:val="0"/>
          <w:sz w:val="21"/>
          <w:szCs w:val="21"/>
          <w14:ligatures w14:val="none"/>
        </w:rPr>
        <w:t xml:space="preserve"> jednorodzinnych</w:t>
      </w:r>
      <w:r w:rsidRPr="003C7334">
        <w:rPr>
          <w:rFonts w:ascii="Century Gothic" w:eastAsia="Times New Roman" w:hAnsi="Century Gothic" w:cs="Calibri"/>
          <w:bCs/>
          <w:kern w:val="0"/>
          <w:sz w:val="21"/>
          <w:szCs w:val="21"/>
          <w14:ligatures w14:val="none"/>
        </w:rPr>
        <w:t xml:space="preserve"> o powierzchni do 150 m</w:t>
      </w:r>
      <w:r w:rsidRPr="003C7334">
        <w:rPr>
          <w:rFonts w:ascii="Century Gothic" w:eastAsia="Times New Roman" w:hAnsi="Century Gothic" w:cs="Calibri"/>
          <w:bCs/>
          <w:kern w:val="0"/>
          <w:sz w:val="21"/>
          <w:szCs w:val="21"/>
          <w:vertAlign w:val="superscript"/>
          <w14:ligatures w14:val="none"/>
        </w:rPr>
        <w:t>2</w:t>
      </w:r>
      <w:r w:rsidRPr="003C7334">
        <w:rPr>
          <w:rFonts w:ascii="Century Gothic" w:eastAsia="Times New Roman" w:hAnsi="Century Gothic" w:cs="Calibri"/>
          <w:bCs/>
          <w:kern w:val="0"/>
          <w:sz w:val="21"/>
          <w:szCs w:val="21"/>
          <w14:ligatures w14:val="none"/>
        </w:rPr>
        <w:t xml:space="preserve">, dwukondygnacyjnych wraz z garażami i miejscami parkingowymi. Budynki te zostaną wybudowane metodą tradycyjną – murowaną z elementami żelbetowymi, żelbetowa lub w konstrukcji szkieletowej.  Dopuszcza się realizację budynków mieszkaniowych dwulokalowych. Dojazd do budynków wybudowanych na działkach zapewniony zostanie drogą wewnętrzną, bezpośrednio do drogi gminnej. </w:t>
      </w:r>
    </w:p>
    <w:p w14:paraId="6BC35418" w14:textId="77777777" w:rsidR="00EA7EF3" w:rsidRPr="00894E41" w:rsidRDefault="00EA7EF3" w:rsidP="00EA7EF3">
      <w:pPr>
        <w:spacing w:after="0" w:line="276" w:lineRule="auto"/>
        <w:ind w:left="720"/>
        <w:jc w:val="both"/>
        <w:rPr>
          <w:rFonts w:ascii="Century Gothic" w:hAnsi="Century Gothic"/>
          <w:sz w:val="21"/>
          <w:szCs w:val="21"/>
        </w:rPr>
      </w:pPr>
      <w:r w:rsidRPr="00894E41">
        <w:rPr>
          <w:rFonts w:ascii="Century Gothic" w:eastAsia="Times New Roman" w:hAnsi="Century Gothic" w:cs="Arial"/>
          <w:kern w:val="0"/>
          <w:sz w:val="21"/>
          <w:szCs w:val="21"/>
          <w14:ligatures w14:val="none"/>
        </w:rPr>
        <w:t>Na podstawie informacji zawartych w Karcie informacyjnej przedsięwzięcia oraz map ustalono, że najbliższy teren chroniony akustycznie</w:t>
      </w:r>
      <w:r w:rsidRPr="00894E41">
        <w:rPr>
          <w:rFonts w:ascii="Century Gothic" w:hAnsi="Century Gothic"/>
          <w:sz w:val="21"/>
          <w:szCs w:val="21"/>
        </w:rPr>
        <w:t xml:space="preserve"> znajduje się w odległości 50 m w kierunku północno – zachodnim od terenu przedsięwzięcia. Jest to zabudowa zagrodowa zlokalizowana na działce nr 7/3 w miejscowości Kalina, Gmina Gniezno. </w:t>
      </w:r>
    </w:p>
    <w:p w14:paraId="3F7E0D69" w14:textId="77777777" w:rsidR="00EA7EF3" w:rsidRPr="00894E41" w:rsidRDefault="00EA7EF3" w:rsidP="00EA7EF3">
      <w:pPr>
        <w:spacing w:after="0" w:line="276" w:lineRule="auto"/>
        <w:ind w:left="720"/>
        <w:jc w:val="both"/>
        <w:rPr>
          <w:rFonts w:ascii="Century Gothic" w:hAnsi="Century Gothic"/>
          <w:sz w:val="21"/>
          <w:szCs w:val="21"/>
        </w:rPr>
      </w:pPr>
      <w:r w:rsidRPr="00894E41">
        <w:rPr>
          <w:rFonts w:ascii="Century Gothic" w:eastAsia="Times New Roman" w:hAnsi="Century Gothic" w:cs="Times New Roman"/>
          <w:kern w:val="0"/>
          <w:sz w:val="21"/>
          <w:szCs w:val="21"/>
          <w14:ligatures w14:val="none"/>
        </w:rPr>
        <w:t xml:space="preserve">Źródłem emisji hałasu na etapie realizacji przedsięwzięcia będą przede wszystkim pojazdy poruszające się po terenie zainwestowania. Celem ograniczenia uciążliwości akustycznej wszelkie prace oraz ruch pojazdów zostaną ograniczone do godzin 6.00—22.00 co uwzględniono w warunkach niniejszej decyzji. Będą to krótkotrwałe i odwracalne uciążliwości. </w:t>
      </w:r>
      <w:r w:rsidRPr="00894E41">
        <w:rPr>
          <w:rFonts w:ascii="Century Gothic" w:hAnsi="Century Gothic"/>
          <w:sz w:val="21"/>
          <w:szCs w:val="21"/>
        </w:rPr>
        <w:t xml:space="preserve">Głównym źródłem hałasu związanym z </w:t>
      </w:r>
      <w:r w:rsidRPr="00894E41">
        <w:rPr>
          <w:rFonts w:ascii="Century Gothic" w:hAnsi="Century Gothic"/>
          <w:sz w:val="21"/>
          <w:szCs w:val="21"/>
        </w:rPr>
        <w:lastRenderedPageBreak/>
        <w:t xml:space="preserve">funkcjonowaniem przedsięwzięcia w porze dziennej i nocnej będą przejazdy samochodów osobowych mieszkańców planowanych budynków, a także pojazdy związane z odbiorem odpadów oraz ścieków ze zbiorników bezodpływowych - szamb. </w:t>
      </w:r>
    </w:p>
    <w:p w14:paraId="61D5562D" w14:textId="77777777" w:rsidR="00EA7EF3" w:rsidRPr="00894E41" w:rsidRDefault="00EA7EF3" w:rsidP="00EA7EF3">
      <w:pPr>
        <w:spacing w:after="0" w:line="276" w:lineRule="auto"/>
        <w:ind w:left="720"/>
        <w:jc w:val="both"/>
        <w:rPr>
          <w:rFonts w:ascii="Century Gothic" w:hAnsi="Century Gothic"/>
          <w:sz w:val="21"/>
          <w:szCs w:val="21"/>
        </w:rPr>
      </w:pPr>
      <w:r w:rsidRPr="00894E41">
        <w:rPr>
          <w:rFonts w:ascii="Century Gothic" w:hAnsi="Century Gothic"/>
          <w:sz w:val="21"/>
          <w:szCs w:val="21"/>
        </w:rPr>
        <w:t xml:space="preserve">Ponadto źródłem hałasu na etapie eksploatacji przedsięwzięcia będą, w przypadku ich zainstalowania pompy ciepła w liczbie maksymalnie do 64 sztuk — po jednej dla każdego lokalu mieszkalnego — o poziomie mocy akustycznej 59 </w:t>
      </w:r>
      <w:proofErr w:type="spellStart"/>
      <w:r w:rsidRPr="00894E41">
        <w:rPr>
          <w:rFonts w:ascii="Century Gothic" w:hAnsi="Century Gothic"/>
          <w:sz w:val="21"/>
          <w:szCs w:val="21"/>
        </w:rPr>
        <w:t>dB</w:t>
      </w:r>
      <w:proofErr w:type="spellEnd"/>
      <w:r w:rsidRPr="00894E41">
        <w:rPr>
          <w:rFonts w:ascii="Century Gothic" w:hAnsi="Century Gothic"/>
          <w:sz w:val="21"/>
          <w:szCs w:val="21"/>
        </w:rPr>
        <w:t xml:space="preserve"> każda. Wnioskodawca w uzupełnieniu </w:t>
      </w:r>
      <w:proofErr w:type="spellStart"/>
      <w:r w:rsidRPr="00894E41">
        <w:rPr>
          <w:rFonts w:ascii="Century Gothic" w:hAnsi="Century Gothic"/>
          <w:sz w:val="21"/>
          <w:szCs w:val="21"/>
        </w:rPr>
        <w:t>k.i.p</w:t>
      </w:r>
      <w:proofErr w:type="spellEnd"/>
      <w:r w:rsidRPr="00894E41">
        <w:rPr>
          <w:rFonts w:ascii="Century Gothic" w:hAnsi="Century Gothic"/>
          <w:sz w:val="21"/>
          <w:szCs w:val="21"/>
        </w:rPr>
        <w:t xml:space="preserve"> wskazał, że planowane budynki nie będą wyposażone w systemy wentylacji stanowiące źródło hałasu i nie uwzględnił ich w ocenie wpływu planowanego przedsięwzięcia na klimat akustyczny. Przeprowadzona analiza akustycznego oddziaływania przedsięwzięcia na środowisko (z uwzględnieniem ww. źródeł) wykazała, że na etapie eksploatacji nie będzie ono powodowało przekroczeń dopuszczalnych poziomów hałasu określonych w rozporządzeniu Ministra Środowiska z dnia 14 czerwca 2007 r. w sprawie dopuszczalnych poziomów hałasu w środowisku (Dz. U. z 2014 r., poz. 112) na granicy najbliższych terenów podlegających ochronie akustycznej.</w:t>
      </w:r>
    </w:p>
    <w:p w14:paraId="5057DECE" w14:textId="77777777" w:rsidR="00EA7EF3" w:rsidRPr="00894E41" w:rsidRDefault="00EA7EF3" w:rsidP="00EA7EF3">
      <w:pPr>
        <w:spacing w:after="0" w:line="276" w:lineRule="auto"/>
        <w:ind w:left="720" w:firstLine="696"/>
        <w:jc w:val="both"/>
        <w:rPr>
          <w:rFonts w:ascii="Century Gothic" w:hAnsi="Century Gothic"/>
          <w:sz w:val="21"/>
          <w:szCs w:val="21"/>
        </w:rPr>
      </w:pPr>
      <w:r w:rsidRPr="00894E41">
        <w:rPr>
          <w:rFonts w:ascii="Century Gothic" w:hAnsi="Century Gothic"/>
          <w:sz w:val="21"/>
          <w:szCs w:val="21"/>
        </w:rPr>
        <w:t xml:space="preserve">Na etapie prac budowlanych emisja substancji do powietrza będzie związana z powstawaniem pyłów, w związku z prowadzeniem robót ziemnych oraz przemieszczaniem mas ziemnych. Źródłem emisji substancji do powietrza będą także procesy spalania paliw w silnikach maszyn i urządzeń pracujących na budowie. Jednakże emisje te będą miały charakter miejscowy i okresowy oraz ustaną po zakończeniu prac budowlanych. </w:t>
      </w:r>
    </w:p>
    <w:p w14:paraId="560B523C" w14:textId="77777777" w:rsidR="00EA7EF3" w:rsidRPr="00894E41" w:rsidRDefault="00EA7EF3" w:rsidP="00EA7EF3">
      <w:pPr>
        <w:spacing w:after="0" w:line="276" w:lineRule="auto"/>
        <w:ind w:left="720" w:firstLine="696"/>
        <w:jc w:val="both"/>
        <w:rPr>
          <w:rFonts w:ascii="Century Gothic" w:hAnsi="Century Gothic"/>
          <w:sz w:val="21"/>
          <w:szCs w:val="21"/>
        </w:rPr>
      </w:pPr>
      <w:r w:rsidRPr="00894E41">
        <w:rPr>
          <w:rFonts w:ascii="Century Gothic" w:hAnsi="Century Gothic"/>
          <w:sz w:val="21"/>
          <w:szCs w:val="21"/>
        </w:rPr>
        <w:t>Biorąc pod uwagę lokalizację oraz skalę i charakter przedmiotowego przedsięwzięcia nie przewiduje się wystąpienia powiązań z innymi przedsięwzięciami ani znaczącego kumulowania się oddziaływań planowanego przedsięwzięcia z oddziaływaniem innych przedsięwzięć</w:t>
      </w:r>
      <w:r w:rsidRPr="00894E41">
        <w:t>.</w:t>
      </w:r>
    </w:p>
    <w:p w14:paraId="0B5EB9FE" w14:textId="77777777" w:rsidR="00EA7EF3" w:rsidRPr="00894E41" w:rsidRDefault="00EA7EF3" w:rsidP="00EA7EF3">
      <w:pPr>
        <w:spacing w:after="0" w:line="276" w:lineRule="auto"/>
        <w:ind w:left="720" w:firstLine="696"/>
        <w:jc w:val="both"/>
        <w:rPr>
          <w:rFonts w:ascii="Century Gothic" w:hAnsi="Century Gothic"/>
          <w:sz w:val="21"/>
          <w:szCs w:val="21"/>
        </w:rPr>
      </w:pPr>
      <w:r w:rsidRPr="00894E41">
        <w:rPr>
          <w:rFonts w:ascii="Century Gothic" w:hAnsi="Century Gothic"/>
          <w:sz w:val="21"/>
          <w:szCs w:val="21"/>
        </w:rPr>
        <w:t xml:space="preserve"> Uwzględniając realizację przedsięwzięcia zgodnie z obowiązującymi przepisami i normami, nie przewiduje się wystąpienia katastrofy budowlanej ani poważnej awarii. Ze względu na położenie geograficzne przedsięwzięcie nie jest zagrożone ryzykiem katastrofy naturalnej, w szczególności w wyniku wystąpienia: trzęsień ziemi czy osuwisk. Biorąc pod uwagę rodzaj przedsięwzięcia i jego cechy, nie przewiduje się jego znaczącego wpływu na zmiany klimatu na etapie realizacji, eksploatacji i likwidacji. Przyjęte rozwiązania techniczne, w tym zastosowane materiały pozwolą na adaptację przedsięwzięcia do postępujących zmian klimatu.</w:t>
      </w:r>
    </w:p>
    <w:p w14:paraId="4C11F1DB" w14:textId="77777777" w:rsidR="00EA7EF3" w:rsidRPr="00894E41" w:rsidRDefault="00EA7EF3" w:rsidP="00EA7EF3">
      <w:pPr>
        <w:spacing w:after="0" w:line="276" w:lineRule="auto"/>
        <w:ind w:left="720" w:firstLine="696"/>
        <w:jc w:val="both"/>
        <w:rPr>
          <w:rFonts w:ascii="Century Gothic" w:hAnsi="Century Gothic"/>
          <w:sz w:val="21"/>
          <w:szCs w:val="21"/>
        </w:rPr>
      </w:pPr>
      <w:r w:rsidRPr="00894E41">
        <w:rPr>
          <w:rFonts w:ascii="Century Gothic" w:hAnsi="Century Gothic"/>
          <w:sz w:val="21"/>
          <w:szCs w:val="21"/>
        </w:rPr>
        <w:t xml:space="preserve">Woda dla celów </w:t>
      </w:r>
      <w:proofErr w:type="spellStart"/>
      <w:r w:rsidRPr="00894E41">
        <w:rPr>
          <w:rFonts w:ascii="Century Gothic" w:hAnsi="Century Gothic"/>
          <w:sz w:val="21"/>
          <w:szCs w:val="21"/>
        </w:rPr>
        <w:t>socjalno</w:t>
      </w:r>
      <w:proofErr w:type="spellEnd"/>
      <w:r w:rsidRPr="00894E41">
        <w:rPr>
          <w:rFonts w:ascii="Century Gothic" w:hAnsi="Century Gothic"/>
          <w:sz w:val="21"/>
          <w:szCs w:val="21"/>
        </w:rPr>
        <w:t xml:space="preserve"> – bytowych pobierana będzie z gminnej sieci wodociągowej, co zawarto w warunkach niniejszej decyzji. Ścieki bytowe będą odprowadzane do szczelnych zbiorników bezodpływowych, a następnie wywożone do oczyszczalni ścieków przez uprawnione podmioty posiadające zezwolenie na prowadzenie działalności w zakresie opróżniania zbiorników bezodpływowych i transportu nieczystości ciekłych. Docelowo przewiduje się odprowadzenie ścieków do gminnej sieci kanalizacyjnej. Inwestor w uzupełnieniu </w:t>
      </w:r>
      <w:proofErr w:type="spellStart"/>
      <w:r w:rsidRPr="00894E41">
        <w:rPr>
          <w:rFonts w:ascii="Century Gothic" w:hAnsi="Century Gothic"/>
          <w:sz w:val="21"/>
          <w:szCs w:val="21"/>
        </w:rPr>
        <w:t>k.i.p</w:t>
      </w:r>
      <w:proofErr w:type="spellEnd"/>
      <w:r w:rsidRPr="00894E41">
        <w:rPr>
          <w:rFonts w:ascii="Century Gothic" w:hAnsi="Century Gothic"/>
          <w:sz w:val="21"/>
          <w:szCs w:val="21"/>
        </w:rPr>
        <w:t xml:space="preserve"> zrezygnował z pierwotnie planowanych przydomowych oczyszczalni ścieków i wskazał, że nie przewiduje odprowadzania ścieków bytowych do przydomowych oczyszczalni ścieków. W związku z powyższym w niniejszej decyzji zawarto warunek, aby ścieki bytowe odprowadzać do szczelnych zbiorników bezodpływowych do czasu podłączenia do sieci kanalizacyjnej sanitarnej. W związku z eksploatacją </w:t>
      </w:r>
      <w:r w:rsidRPr="00894E41">
        <w:rPr>
          <w:rFonts w:ascii="Century Gothic" w:hAnsi="Century Gothic"/>
          <w:sz w:val="21"/>
          <w:szCs w:val="21"/>
        </w:rPr>
        <w:lastRenderedPageBreak/>
        <w:t>przedsięwzięcia nie przewiduje się powstawania ścieków przemysłowych. Wody opadowe i roztopowe odprowadzane będą na własny teren nieutwardzony, to jest poprzez infiltrację do gruntu. Ponieważ planowane rozwiązanie minimalizuje utratę naturalnej retencji i przywraca w możliwym zakresie naturalny, gruntowy charakter odpływu wód opadowych i roztopowych wpisano je jako warunek realizacji przedsięwzięcia, dodając możliwość gromadzenia tych wód w zbiornikach retencyjnych lub dołach chłonnych.</w:t>
      </w:r>
    </w:p>
    <w:p w14:paraId="67783B51" w14:textId="77777777" w:rsidR="00EA7EF3" w:rsidRPr="00894E41" w:rsidRDefault="00EA7EF3" w:rsidP="00EA7EF3">
      <w:pPr>
        <w:spacing w:after="0" w:line="276" w:lineRule="auto"/>
        <w:ind w:left="720"/>
        <w:jc w:val="both"/>
        <w:rPr>
          <w:rFonts w:ascii="Century Gothic" w:eastAsia="Calibri" w:hAnsi="Century Gothic" w:cs="Arial"/>
          <w:spacing w:val="-1"/>
          <w:sz w:val="21"/>
          <w:szCs w:val="21"/>
          <w:lang w:eastAsia="ar-SA"/>
        </w:rPr>
      </w:pPr>
      <w:r w:rsidRPr="00894E41">
        <w:rPr>
          <w:rFonts w:ascii="Century Gothic" w:eastAsia="Calibri" w:hAnsi="Century Gothic" w:cs="Arial"/>
          <w:spacing w:val="-1"/>
          <w:sz w:val="21"/>
          <w:szCs w:val="21"/>
          <w:lang w:eastAsia="ar-SA"/>
        </w:rPr>
        <w:t>Realizacja przedsięwzięcia będzie wiązała się z zastosowaniem typowych dla tego rodzaju przedsięwzięć materiałów i surowców budowlanych, miedzy innymi takich jak: piasek, żwir, beton, stal, drewno i szkło. Na potrzeby realizacji przedsięwzięcia niezbędne będzie także zużycie paliwa, energii elektrycznej oraz wody.</w:t>
      </w:r>
    </w:p>
    <w:p w14:paraId="0A888DB0" w14:textId="77777777" w:rsidR="00EA7EF3" w:rsidRPr="00894E41" w:rsidRDefault="00EA7EF3" w:rsidP="00EA7EF3">
      <w:pPr>
        <w:spacing w:after="0" w:line="276" w:lineRule="auto"/>
        <w:ind w:left="720"/>
        <w:jc w:val="both"/>
        <w:rPr>
          <w:rFonts w:ascii="Century Gothic" w:hAnsi="Century Gothic" w:cs="Calibri"/>
          <w:sz w:val="21"/>
          <w:szCs w:val="21"/>
        </w:rPr>
      </w:pPr>
      <w:r w:rsidRPr="00894E41">
        <w:rPr>
          <w:rFonts w:ascii="Century Gothic" w:hAnsi="Century Gothic" w:cs="Calibri"/>
          <w:sz w:val="21"/>
          <w:szCs w:val="21"/>
        </w:rPr>
        <w:t xml:space="preserve">Gospodarowanie odpadami na etapie realizacji i eksploatacji przedmiotowego przedsięwzięcia powinno odbywać się na zasadach określonych w aktualnie obowiązujących przepisach szczegółowych. Na etapie realizacji przedsięwzięcia powstawać będą głownie odpady budowlane, które przekazywane będą podmiotom uprawnionym.  Natomiast na etapie eksploatacji przedsięwzięcia powstawać będą odpady komunalne wytwarzane poprzez użytkowników budynków mieszkalnych jednorodzinnych. Odpady te będą zbierane w sposób selektywny w specjalnych pojemnikach lub workach, a następnie odbierane przez podmiot uprawniony. </w:t>
      </w:r>
    </w:p>
    <w:p w14:paraId="33B044B2" w14:textId="77777777" w:rsidR="00EA7EF3" w:rsidRPr="00894E41" w:rsidRDefault="00EA7EF3" w:rsidP="00EA7EF3">
      <w:pPr>
        <w:spacing w:after="0" w:line="276" w:lineRule="auto"/>
        <w:ind w:left="720"/>
        <w:jc w:val="both"/>
        <w:rPr>
          <w:rFonts w:ascii="Century Gothic" w:hAnsi="Century Gothic"/>
          <w:sz w:val="21"/>
          <w:szCs w:val="21"/>
        </w:rPr>
      </w:pPr>
      <w:r w:rsidRPr="00894E41">
        <w:rPr>
          <w:rFonts w:ascii="Century Gothic" w:hAnsi="Century Gothic"/>
          <w:sz w:val="21"/>
          <w:szCs w:val="21"/>
        </w:rPr>
        <w:tab/>
        <w:t>W niniejszej decyzji wskazano, aby niezanieczyszczone gleby i inne materiały występujące w stanie naturalnym, powstające w trakcie realizacji przedsięwzięcia wykorzystać w pierwszej kolejności ponownie na terenie przedsięwzięcia.</w:t>
      </w:r>
    </w:p>
    <w:p w14:paraId="0C483D81" w14:textId="77777777" w:rsidR="00EA7EF3" w:rsidRPr="00894E41" w:rsidRDefault="00EA7EF3" w:rsidP="00EA7EF3">
      <w:pPr>
        <w:numPr>
          <w:ilvl w:val="0"/>
          <w:numId w:val="4"/>
        </w:numPr>
        <w:spacing w:after="0" w:line="276" w:lineRule="auto"/>
        <w:jc w:val="both"/>
        <w:rPr>
          <w:rFonts w:ascii="Century Gothic" w:eastAsia="Times New Roman" w:hAnsi="Century Gothic" w:cs="Calibri"/>
          <w:kern w:val="0"/>
          <w:sz w:val="21"/>
          <w:szCs w:val="21"/>
          <w14:ligatures w14:val="none"/>
        </w:rPr>
      </w:pPr>
      <w:r w:rsidRPr="00894E41">
        <w:rPr>
          <w:rFonts w:ascii="Century Gothic" w:eastAsia="Times New Roman" w:hAnsi="Century Gothic" w:cs="Calibri"/>
          <w:b/>
          <w:i/>
          <w:kern w:val="0"/>
          <w:sz w:val="21"/>
          <w:szCs w:val="21"/>
          <w:lang w:eastAsia="pl-PL"/>
          <w14:ligatures w14:val="none"/>
        </w:rPr>
        <w:t>usytuowanie przedsięwzięcia</w:t>
      </w:r>
      <w:r w:rsidRPr="00894E41">
        <w:rPr>
          <w:rFonts w:ascii="Century Gothic" w:eastAsia="Times New Roman" w:hAnsi="Century Gothic" w:cs="Calibri"/>
          <w:kern w:val="0"/>
          <w:sz w:val="21"/>
          <w:szCs w:val="21"/>
          <w:lang w:eastAsia="pl-PL"/>
          <w14:ligatures w14:val="none"/>
        </w:rPr>
        <w:t xml:space="preserve"> </w:t>
      </w:r>
      <w:r w:rsidRPr="00894E41">
        <w:rPr>
          <w:rFonts w:ascii="Century Gothic" w:eastAsia="Times New Roman" w:hAnsi="Century Gothic" w:cs="Calibri"/>
          <w:i/>
          <w:kern w:val="0"/>
          <w:sz w:val="21"/>
          <w:szCs w:val="21"/>
          <w:lang w:eastAsia="pl-PL"/>
          <w14:ligatures w14:val="none"/>
        </w:rPr>
        <w:t xml:space="preserve">(art. 63 ust. 1 pkt 2 ustawy </w:t>
      </w:r>
      <w:proofErr w:type="spellStart"/>
      <w:r w:rsidRPr="00894E41">
        <w:rPr>
          <w:rFonts w:ascii="Century Gothic" w:eastAsia="Times New Roman" w:hAnsi="Century Gothic" w:cs="Calibri"/>
          <w:i/>
          <w:kern w:val="0"/>
          <w:sz w:val="21"/>
          <w:szCs w:val="21"/>
          <w:lang w:eastAsia="pl-PL"/>
          <w14:ligatures w14:val="none"/>
        </w:rPr>
        <w:t>ooś</w:t>
      </w:r>
      <w:proofErr w:type="spellEnd"/>
      <w:r w:rsidRPr="00894E41">
        <w:rPr>
          <w:rFonts w:ascii="Century Gothic" w:eastAsia="Times New Roman" w:hAnsi="Century Gothic" w:cs="Calibri"/>
          <w:i/>
          <w:kern w:val="0"/>
          <w:sz w:val="21"/>
          <w:szCs w:val="21"/>
          <w:lang w:eastAsia="pl-PL"/>
          <w14:ligatures w14:val="none"/>
        </w:rPr>
        <w:t>)</w:t>
      </w:r>
      <w:r w:rsidRPr="00894E41">
        <w:rPr>
          <w:rFonts w:ascii="Century Gothic" w:eastAsia="Times New Roman" w:hAnsi="Century Gothic" w:cs="Calibri"/>
          <w:kern w:val="0"/>
          <w:sz w:val="21"/>
          <w:szCs w:val="21"/>
          <w:lang w:eastAsia="pl-PL"/>
          <w14:ligatures w14:val="none"/>
        </w:rPr>
        <w:t xml:space="preserve"> – planowane przedsięwzięcie usytuowane będzie na działkach o numerach ewidencyjnych</w:t>
      </w:r>
      <w:r w:rsidRPr="00894E41">
        <w:rPr>
          <w:rFonts w:ascii="Century Gothic" w:hAnsi="Century Gothic"/>
          <w:sz w:val="21"/>
          <w:szCs w:val="21"/>
        </w:rPr>
        <w:t xml:space="preserve"> 16/1, 16/2, 16/3, 16/4, 16/5, 16/6, 16/7, 16/8, 16/9 i 16/10</w:t>
      </w:r>
      <w:r w:rsidRPr="00894E41">
        <w:rPr>
          <w:rFonts w:ascii="Century Gothic" w:eastAsia="Times New Roman" w:hAnsi="Century Gothic" w:cs="Calibri"/>
          <w:kern w:val="0"/>
          <w:sz w:val="21"/>
          <w:szCs w:val="21"/>
          <w14:ligatures w14:val="none"/>
        </w:rPr>
        <w:t xml:space="preserve">, </w:t>
      </w:r>
      <w:r w:rsidRPr="00894E41">
        <w:rPr>
          <w:rFonts w:ascii="Century Gothic" w:eastAsia="Times New Roman" w:hAnsi="Century Gothic" w:cs="Calibri"/>
          <w:kern w:val="0"/>
          <w:sz w:val="21"/>
          <w:szCs w:val="21"/>
          <w:lang w:eastAsia="pl-PL"/>
          <w14:ligatures w14:val="none"/>
        </w:rPr>
        <w:t>położonych w miejscowości Kalina</w:t>
      </w:r>
      <w:r w:rsidRPr="00894E41">
        <w:rPr>
          <w:rFonts w:ascii="Century Gothic" w:eastAsia="Times New Roman" w:hAnsi="Century Gothic" w:cs="Calibri"/>
          <w:kern w:val="0"/>
          <w:sz w:val="21"/>
          <w:szCs w:val="21"/>
          <w14:ligatures w14:val="none"/>
        </w:rPr>
        <w:t>, Gmina Gniezno</w:t>
      </w:r>
      <w:r w:rsidRPr="00894E41">
        <w:rPr>
          <w:rFonts w:ascii="Century Gothic" w:eastAsia="Times New Roman" w:hAnsi="Century Gothic" w:cs="Calibri"/>
          <w:kern w:val="0"/>
          <w:sz w:val="21"/>
          <w:szCs w:val="21"/>
          <w:lang w:eastAsia="pl-PL"/>
          <w14:ligatures w14:val="none"/>
        </w:rPr>
        <w:t>, na gruntach rolnych</w:t>
      </w:r>
      <w:r w:rsidRPr="00894E41">
        <w:rPr>
          <w:rFonts w:ascii="Century Gothic" w:hAnsi="Century Gothic"/>
          <w:sz w:val="21"/>
          <w:szCs w:val="21"/>
        </w:rPr>
        <w:t xml:space="preserve">, które obecnie nie są wykorzystywane rolniczo. W bezpośrednim sąsiedztwie terenu planowanego przedsięwzięcia znajduje się las. </w:t>
      </w:r>
    </w:p>
    <w:p w14:paraId="4A6C335D" w14:textId="77777777" w:rsidR="00EA7EF3" w:rsidRPr="00894E41" w:rsidRDefault="00EA7EF3" w:rsidP="00EA7EF3">
      <w:pPr>
        <w:spacing w:after="0" w:line="276" w:lineRule="auto"/>
        <w:ind w:left="720"/>
        <w:jc w:val="both"/>
        <w:rPr>
          <w:rFonts w:ascii="Century Gothic" w:hAnsi="Century Gothic"/>
          <w:sz w:val="21"/>
          <w:szCs w:val="21"/>
        </w:rPr>
      </w:pPr>
      <w:r w:rsidRPr="00894E41">
        <w:rPr>
          <w:rFonts w:ascii="Century Gothic" w:eastAsia="Times New Roman" w:hAnsi="Century Gothic" w:cs="Arial"/>
          <w:bCs/>
          <w:kern w:val="0"/>
          <w:sz w:val="21"/>
          <w:szCs w:val="21"/>
          <w14:ligatures w14:val="none"/>
        </w:rPr>
        <w:t xml:space="preserve">Planowane przedsięwzięcie </w:t>
      </w:r>
      <w:r w:rsidRPr="00894E41">
        <w:rPr>
          <w:rFonts w:ascii="Century Gothic" w:hAnsi="Century Gothic"/>
          <w:sz w:val="21"/>
          <w:szCs w:val="21"/>
        </w:rPr>
        <w:t>nie będzie zlokalizowane na obszarach ochronnych zbiorników wód śródlądowych i w strefach ochronnych ujęć wód podziemnych, na obszarach wybrzeży i środowiska morskiego oraz na obszarach górskich i osuwiskowych. Przedsięwzięcie nie będzie zlokalizowane na obszarach o krajobrazie mającym znaczenie historyczne, kulturowe i archeologiczne a także na obszarach uzdrowiskowych i ochrony uzdrowiskowej. Przedsięwzięcie nie będzie zlokalizowane na obszarach o dużej gęstości zaludnienia. W związku z realizacją przedmiotowego przedsięwzięcia nie przewiduje się przekroczenia standardów jakości środowiska.</w:t>
      </w:r>
    </w:p>
    <w:p w14:paraId="33FB44C9" w14:textId="77777777" w:rsidR="00EA7EF3" w:rsidRPr="00423B95" w:rsidRDefault="00EA7EF3" w:rsidP="00EA7EF3">
      <w:pPr>
        <w:spacing w:after="0" w:line="276" w:lineRule="auto"/>
        <w:ind w:left="720"/>
        <w:jc w:val="both"/>
        <w:rPr>
          <w:rFonts w:ascii="Century Gothic" w:hAnsi="Century Gothic"/>
          <w:sz w:val="21"/>
          <w:szCs w:val="21"/>
        </w:rPr>
      </w:pPr>
      <w:r w:rsidRPr="00894E41">
        <w:rPr>
          <w:rFonts w:ascii="Century Gothic" w:eastAsia="Times New Roman" w:hAnsi="Century Gothic" w:cs="Arial"/>
          <w:kern w:val="0"/>
          <w:sz w:val="21"/>
          <w:szCs w:val="21"/>
          <w14:ligatures w14:val="none"/>
        </w:rPr>
        <w:t xml:space="preserve">Teren przeznaczony pod przedsięwzięcie zlokalizowany jest </w:t>
      </w:r>
      <w:r w:rsidRPr="00894E41">
        <w:rPr>
          <w:rFonts w:ascii="Century Gothic" w:hAnsi="Century Gothic" w:cs="Arial"/>
          <w:sz w:val="21"/>
          <w:szCs w:val="21"/>
        </w:rPr>
        <w:t>poza obszarami chronionymi na podstawie ustawy z dnia 16 kwietnia 2004 r. o ochronie przyrody (Dz. U. z 2024 r. poz. 1478 ze zm.). Najbliżej położonym obszarem Natura 2000 jest specjalny obszar ochrony siedlisk Pojezierze Gnieźnieńskie PLH300026, oddalony o ok. 0,6 km od miejsca realizacji przedsięwzięcia.</w:t>
      </w:r>
      <w:r w:rsidRPr="00894E41">
        <w:rPr>
          <w:rFonts w:ascii="Century Gothic" w:hAnsi="Century Gothic"/>
          <w:sz w:val="21"/>
          <w:szCs w:val="21"/>
        </w:rPr>
        <w:t xml:space="preserve"> Ponadto przedsięwzięcie znajduje się w ponadregionalnym korytarzu ekologicznym KPnC-15C Pojezierze Żnińskie  i na obszarze ważnym dla ptaków „Jezioro </w:t>
      </w:r>
      <w:proofErr w:type="spellStart"/>
      <w:r w:rsidRPr="00894E41">
        <w:rPr>
          <w:rFonts w:ascii="Century Gothic" w:hAnsi="Century Gothic"/>
          <w:sz w:val="21"/>
          <w:szCs w:val="21"/>
        </w:rPr>
        <w:t>Wierzbiczańskie</w:t>
      </w:r>
      <w:proofErr w:type="spellEnd"/>
      <w:r w:rsidRPr="00894E41">
        <w:rPr>
          <w:rFonts w:ascii="Century Gothic" w:hAnsi="Century Gothic"/>
          <w:sz w:val="21"/>
          <w:szCs w:val="21"/>
        </w:rPr>
        <w:t xml:space="preserve">" wyznaczonym na podstawie opracowania przygotowanego przez Przemysława </w:t>
      </w:r>
      <w:proofErr w:type="spellStart"/>
      <w:r w:rsidRPr="00894E41">
        <w:rPr>
          <w:rFonts w:ascii="Century Gothic" w:hAnsi="Century Gothic"/>
          <w:sz w:val="21"/>
          <w:szCs w:val="21"/>
        </w:rPr>
        <w:t>Wylegałę</w:t>
      </w:r>
      <w:proofErr w:type="spellEnd"/>
      <w:r w:rsidRPr="00894E41">
        <w:rPr>
          <w:rFonts w:ascii="Century Gothic" w:hAnsi="Century Gothic"/>
          <w:sz w:val="21"/>
          <w:szCs w:val="21"/>
        </w:rPr>
        <w:t xml:space="preserve">, Stanisława Kuźniaka oraz Pawła T. Dolatę „Obszary ważne dla ptaków w okresie </w:t>
      </w:r>
      <w:r w:rsidRPr="00423B95">
        <w:rPr>
          <w:rFonts w:ascii="Century Gothic" w:hAnsi="Century Gothic"/>
          <w:sz w:val="21"/>
          <w:szCs w:val="21"/>
        </w:rPr>
        <w:lastRenderedPageBreak/>
        <w:t xml:space="preserve">gniazdowania oraz migracji na terenie województwa wielkopolskiego” zleconego przez Wielkopolskie Biuro Planowania Przestrzennego (Poznań 2008). Jezioro </w:t>
      </w:r>
      <w:proofErr w:type="spellStart"/>
      <w:r w:rsidRPr="00423B95">
        <w:rPr>
          <w:rFonts w:ascii="Century Gothic" w:hAnsi="Century Gothic"/>
          <w:sz w:val="21"/>
          <w:szCs w:val="21"/>
        </w:rPr>
        <w:t>Wierzbiczańskie</w:t>
      </w:r>
      <w:proofErr w:type="spellEnd"/>
      <w:r w:rsidRPr="00423B95">
        <w:rPr>
          <w:rFonts w:ascii="Century Gothic" w:hAnsi="Century Gothic"/>
          <w:sz w:val="21"/>
          <w:szCs w:val="21"/>
        </w:rPr>
        <w:t xml:space="preserve"> jest miejscem koncentracji ptaków wodnych (głownie rożnych gatunków kaczek oraz łyski)podczas wędrówek oraz noclegowisko gęsi zbożowych i białoczelnych. Położenie przedsięwzięcia w sąsiedztwie lasu zmniejsza atrakcyjność tego miejsca jako żerowiska dla gęsi i dlatego nie przewiduje się znaczącego negatywnego oddziaływania na tę grupę ptaków.  </w:t>
      </w:r>
    </w:p>
    <w:p w14:paraId="498AB03B" w14:textId="77777777" w:rsidR="00EA7EF3" w:rsidRPr="00423B95" w:rsidRDefault="00EA7EF3" w:rsidP="00EA7EF3">
      <w:pPr>
        <w:spacing w:after="0" w:line="276" w:lineRule="auto"/>
        <w:ind w:left="720"/>
        <w:jc w:val="both"/>
        <w:rPr>
          <w:rFonts w:ascii="Century Gothic" w:eastAsia="Times New Roman" w:hAnsi="Century Gothic" w:cs="Arial"/>
          <w:bCs/>
          <w:kern w:val="0"/>
          <w:sz w:val="21"/>
          <w:szCs w:val="21"/>
          <w14:ligatures w14:val="none"/>
        </w:rPr>
      </w:pPr>
      <w:r w:rsidRPr="00423B95">
        <w:rPr>
          <w:rFonts w:ascii="Century Gothic" w:eastAsia="Times New Roman" w:hAnsi="Century Gothic" w:cs="Arial"/>
          <w:kern w:val="0"/>
          <w:sz w:val="21"/>
          <w:szCs w:val="21"/>
          <w14:ligatures w14:val="none"/>
        </w:rPr>
        <w:t xml:space="preserve">Mając na względzie lokalizację planowanego przedsięwzięcia na gruncie ornym oraz brak konieczności wycinki drzew i krzewów,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i zwierząt oraz ich siedlisk, dla których ochrony zostały wyznaczone obszary Natura 2000, ani pogorszenia integralności obszarów Natura 2000 lub powiązania z innymi obszarami. Ponadto przedsięwzięcie nie spowoduje utraty i fragmentacji siedlisk oraz nie wpłynie na korytarze ekologiczne. </w:t>
      </w:r>
    </w:p>
    <w:p w14:paraId="68979FC6" w14:textId="77777777" w:rsidR="00EA7EF3" w:rsidRPr="00423B95" w:rsidRDefault="00EA7EF3" w:rsidP="00EA7EF3">
      <w:pPr>
        <w:spacing w:after="0" w:line="276" w:lineRule="auto"/>
        <w:ind w:left="720"/>
        <w:jc w:val="both"/>
        <w:rPr>
          <w:rFonts w:ascii="Century Gothic" w:eastAsia="Times New Roman" w:hAnsi="Century Gothic" w:cs="Times New Roman"/>
          <w:kern w:val="0"/>
          <w:sz w:val="21"/>
          <w:szCs w:val="21"/>
          <w14:ligatures w14:val="none"/>
        </w:rPr>
      </w:pPr>
      <w:r w:rsidRPr="00423B95">
        <w:rPr>
          <w:rFonts w:ascii="Century Gothic" w:eastAsia="Times New Roman" w:hAnsi="Century Gothic" w:cs="Calibri"/>
          <w:kern w:val="0"/>
          <w:sz w:val="21"/>
          <w:szCs w:val="21"/>
          <w:lang w:eastAsia="pl-PL"/>
          <w14:ligatures w14:val="none"/>
        </w:rPr>
        <w:t>Planowane przedsięwzięcie zlokalizowane jest w granicach jednolitej części wód podziemnych (</w:t>
      </w:r>
      <w:proofErr w:type="spellStart"/>
      <w:r w:rsidRPr="00423B95">
        <w:rPr>
          <w:rFonts w:ascii="Century Gothic" w:eastAsia="Times New Roman" w:hAnsi="Century Gothic" w:cs="Calibri"/>
          <w:kern w:val="0"/>
          <w:sz w:val="21"/>
          <w:szCs w:val="21"/>
          <w:lang w:eastAsia="pl-PL"/>
          <w14:ligatures w14:val="none"/>
        </w:rPr>
        <w:t>JCWPd</w:t>
      </w:r>
      <w:proofErr w:type="spellEnd"/>
      <w:r w:rsidRPr="00423B95">
        <w:rPr>
          <w:rFonts w:ascii="Century Gothic" w:eastAsia="Times New Roman" w:hAnsi="Century Gothic" w:cs="Calibri"/>
          <w:kern w:val="0"/>
          <w:sz w:val="21"/>
          <w:szCs w:val="21"/>
          <w:lang w:eastAsia="pl-PL"/>
          <w14:ligatures w14:val="none"/>
        </w:rPr>
        <w:t xml:space="preserve">) o kodzie GW600042. Zgodnie z obowiązującym „Planem gospodarowania wodami na obszarze dorzecza Odry” /Dz. U Z 2023 r. poz. 335/ </w:t>
      </w:r>
      <w:proofErr w:type="spellStart"/>
      <w:r w:rsidRPr="00423B95">
        <w:rPr>
          <w:rFonts w:ascii="Century Gothic" w:eastAsia="Times New Roman" w:hAnsi="Century Gothic" w:cs="Times New Roman"/>
          <w:kern w:val="0"/>
          <w:sz w:val="21"/>
          <w:szCs w:val="21"/>
          <w14:ligatures w14:val="none"/>
        </w:rPr>
        <w:t>JCWPd</w:t>
      </w:r>
      <w:proofErr w:type="spellEnd"/>
      <w:r w:rsidRPr="00423B95">
        <w:rPr>
          <w:rFonts w:ascii="Century Gothic" w:eastAsia="Times New Roman" w:hAnsi="Century Gothic" w:cs="Times New Roman"/>
          <w:kern w:val="0"/>
          <w:sz w:val="21"/>
          <w:szCs w:val="21"/>
          <w14:ligatures w14:val="none"/>
        </w:rPr>
        <w:t xml:space="preserve"> o kodzie GW600042 charakteryzuje się dobrym stanem ilościowym oraz chemicznym. Przeznaczona jest do poboru wody na potrzeby zaopatrzenia ludności w wodę przeznaczoną do spożycia.</w:t>
      </w:r>
      <w:r w:rsidRPr="00423B95">
        <w:rPr>
          <w:rFonts w:ascii="Century Gothic" w:eastAsia="Times New Roman" w:hAnsi="Century Gothic" w:cs="Arial"/>
          <w:bCs/>
          <w:kern w:val="0"/>
          <w:sz w:val="21"/>
          <w:szCs w:val="21"/>
          <w14:ligatures w14:val="none"/>
        </w:rPr>
        <w:t xml:space="preserve"> </w:t>
      </w:r>
      <w:r w:rsidRPr="00423B95">
        <w:rPr>
          <w:rFonts w:ascii="Century Gothic" w:eastAsia="Times New Roman" w:hAnsi="Century Gothic" w:cs="Times New Roman"/>
          <w:kern w:val="0"/>
          <w:sz w:val="21"/>
          <w:szCs w:val="21"/>
          <w14:ligatures w14:val="none"/>
        </w:rPr>
        <w:t>Jest ona monitorowana, a w odniesieniu do ryzyka nieosiągnięcia celów środowiskowych została uznana za niezagrożoną. Celem środowiskowym dla tej części wód jest dobry stan ilościowy i chemiczny.</w:t>
      </w:r>
    </w:p>
    <w:p w14:paraId="1BD94EB1" w14:textId="77777777" w:rsidR="00EA7EF3" w:rsidRPr="00423B95" w:rsidRDefault="00EA7EF3" w:rsidP="00EA7EF3">
      <w:pPr>
        <w:spacing w:after="0" w:line="276" w:lineRule="auto"/>
        <w:ind w:left="720"/>
        <w:jc w:val="both"/>
        <w:rPr>
          <w:rFonts w:ascii="Century Gothic" w:eastAsia="Times New Roman" w:hAnsi="Century Gothic" w:cs="Times New Roman"/>
          <w:kern w:val="0"/>
          <w:sz w:val="21"/>
          <w:szCs w:val="21"/>
          <w14:ligatures w14:val="none"/>
        </w:rPr>
      </w:pPr>
      <w:r w:rsidRPr="00423B95">
        <w:rPr>
          <w:rFonts w:ascii="Century Gothic" w:eastAsia="Times New Roman" w:hAnsi="Century Gothic" w:cs="Calibri"/>
          <w:kern w:val="0"/>
          <w:sz w:val="21"/>
          <w:szCs w:val="21"/>
          <w:lang w:eastAsia="pl-PL"/>
          <w14:ligatures w14:val="none"/>
        </w:rPr>
        <w:t xml:space="preserve">Planowane przedsięwzięcie zlokalizowane jest w zlewni jednolitej części wód </w:t>
      </w:r>
      <w:r w:rsidRPr="00423B95">
        <w:rPr>
          <w:rFonts w:ascii="Century Gothic" w:eastAsia="Times New Roman" w:hAnsi="Century Gothic" w:cs="Times New Roman"/>
          <w:kern w:val="0"/>
          <w:sz w:val="21"/>
          <w:szCs w:val="21"/>
          <w14:ligatures w14:val="none"/>
        </w:rPr>
        <w:t xml:space="preserve">powierzchniowych rzecznych JCWP o kodzie RW600018186339 — Wełna do </w:t>
      </w:r>
      <w:proofErr w:type="spellStart"/>
      <w:r w:rsidRPr="00423B95">
        <w:rPr>
          <w:rFonts w:ascii="Century Gothic" w:eastAsia="Times New Roman" w:hAnsi="Century Gothic" w:cs="Times New Roman"/>
          <w:kern w:val="0"/>
          <w:sz w:val="21"/>
          <w:szCs w:val="21"/>
          <w14:ligatures w14:val="none"/>
        </w:rPr>
        <w:t>Lutomni</w:t>
      </w:r>
      <w:proofErr w:type="spellEnd"/>
      <w:r w:rsidRPr="00423B95">
        <w:rPr>
          <w:rFonts w:ascii="Century Gothic" w:eastAsia="Times New Roman" w:hAnsi="Century Gothic" w:cs="Times New Roman"/>
          <w:kern w:val="0"/>
          <w:sz w:val="21"/>
          <w:szCs w:val="21"/>
          <w14:ligatures w14:val="none"/>
        </w:rPr>
        <w:t>, która jest naturalną częścią wód. Jest ona monitorowana, a jej aktualny stan jest zły. Zgodnie z oceną ryzyka nieosiągnięcia celu środowiskowego została określona jako zagrożona. Celem środowiskowym dla tej części wód jest dobry stan ekologiczny oraz dobry stan chemiczny. Termin osiągnięcia celu środowiskowego wyznaczono na 2027 rok;.</w:t>
      </w:r>
    </w:p>
    <w:p w14:paraId="7AAC9505" w14:textId="77777777" w:rsidR="00EA7EF3" w:rsidRPr="00423B95" w:rsidRDefault="00EA7EF3" w:rsidP="00EA7EF3">
      <w:pPr>
        <w:spacing w:after="0" w:line="276" w:lineRule="auto"/>
        <w:ind w:left="720"/>
        <w:jc w:val="both"/>
        <w:rPr>
          <w:rFonts w:ascii="Century Gothic" w:eastAsia="Times New Roman" w:hAnsi="Century Gothic" w:cs="Arial"/>
          <w:bCs/>
          <w:kern w:val="0"/>
          <w:sz w:val="21"/>
          <w:szCs w:val="21"/>
          <w14:ligatures w14:val="none"/>
        </w:rPr>
      </w:pPr>
      <w:r w:rsidRPr="00423B95">
        <w:rPr>
          <w:rFonts w:ascii="Century Gothic" w:eastAsia="Times New Roman" w:hAnsi="Century Gothic" w:cs="Times New Roman"/>
          <w:kern w:val="0"/>
          <w:sz w:val="21"/>
          <w:szCs w:val="21"/>
          <w14:ligatures w14:val="none"/>
        </w:rPr>
        <w:t xml:space="preserve">Uwzględniając charakter i skalę oddziaływania, zastosowane rozwiązania </w:t>
      </w:r>
      <w:r w:rsidRPr="00423B95">
        <w:rPr>
          <w:rFonts w:ascii="Century Gothic" w:eastAsia="Times New Roman" w:hAnsi="Century Gothic" w:cs="Times New Roman"/>
          <w:kern w:val="0"/>
          <w:sz w:val="21"/>
          <w:szCs w:val="21"/>
          <w14:ligatures w14:val="none"/>
        </w:rPr>
        <w:br/>
        <w:t>i technologie stwierdzono, że planowane p</w:t>
      </w:r>
      <w:r w:rsidRPr="00423B95">
        <w:rPr>
          <w:rFonts w:ascii="Century Gothic" w:eastAsia="Times New Roman" w:hAnsi="Century Gothic" w:cs="Calibri"/>
          <w:kern w:val="0"/>
          <w:sz w:val="21"/>
          <w:szCs w:val="21"/>
          <w:lang w:eastAsia="pl-PL"/>
          <w14:ligatures w14:val="none"/>
        </w:rPr>
        <w:t>rzedsięwzięcie nie będzie znacząco wpływać na pozostające w zasięgu oddziaływania jednolite części wód i nie będzie także stwarzać zagrożenia dla realizacji celów środowiskowych, o których mowa w art. 56, art. 57, art. 59 i art. 61 ustawy z dnia 20 lipca 2017 r. — Prawo wodne, a określonych dla tych części wód w zaktualizowanym „Planie gospodarowania wodami na obszarze dorzecza Odry”, przyjętym rozporządzeniem Ministra Infrastruktury z dnia 16 listopada 2022 r. /Dz. U. z 2023 r., poz. 335/.</w:t>
      </w:r>
    </w:p>
    <w:p w14:paraId="49DDCDE9" w14:textId="77777777" w:rsidR="00EA7EF3" w:rsidRPr="00423B95" w:rsidRDefault="00EA7EF3" w:rsidP="00EA7EF3">
      <w:pPr>
        <w:numPr>
          <w:ilvl w:val="0"/>
          <w:numId w:val="4"/>
        </w:numPr>
        <w:spacing w:after="0" w:line="276" w:lineRule="auto"/>
        <w:jc w:val="both"/>
        <w:rPr>
          <w:rFonts w:ascii="Century Gothic" w:eastAsia="Times New Roman" w:hAnsi="Century Gothic" w:cs="Calibri"/>
          <w:kern w:val="0"/>
          <w:sz w:val="21"/>
          <w:szCs w:val="21"/>
          <w:lang w:eastAsia="pl-PL"/>
          <w14:ligatures w14:val="none"/>
        </w:rPr>
      </w:pPr>
      <w:r w:rsidRPr="00423B95">
        <w:rPr>
          <w:rFonts w:ascii="Century Gothic" w:eastAsia="Times New Roman" w:hAnsi="Century Gothic" w:cs="Calibri"/>
          <w:b/>
          <w:i/>
          <w:kern w:val="0"/>
          <w:sz w:val="21"/>
          <w:szCs w:val="21"/>
          <w:lang w:eastAsia="pl-PL"/>
          <w14:ligatures w14:val="none"/>
        </w:rPr>
        <w:t>rodzaj i skala możliwego oddziaływania przedsięwzięcia</w:t>
      </w:r>
      <w:r w:rsidRPr="00423B95">
        <w:rPr>
          <w:rFonts w:ascii="Century Gothic" w:eastAsia="Times New Roman" w:hAnsi="Century Gothic" w:cs="Calibri"/>
          <w:kern w:val="0"/>
          <w:sz w:val="21"/>
          <w:szCs w:val="21"/>
          <w:lang w:eastAsia="pl-PL"/>
          <w14:ligatures w14:val="none"/>
        </w:rPr>
        <w:t xml:space="preserve"> </w:t>
      </w:r>
      <w:r w:rsidRPr="00423B95">
        <w:rPr>
          <w:rFonts w:ascii="Century Gothic" w:eastAsia="Times New Roman" w:hAnsi="Century Gothic" w:cs="Calibri"/>
          <w:i/>
          <w:kern w:val="0"/>
          <w:sz w:val="21"/>
          <w:szCs w:val="21"/>
          <w:lang w:eastAsia="pl-PL"/>
          <w14:ligatures w14:val="none"/>
        </w:rPr>
        <w:t xml:space="preserve">(art. 63 ust. 1 pkt 3 ustawy </w:t>
      </w:r>
      <w:proofErr w:type="spellStart"/>
      <w:r w:rsidRPr="00423B95">
        <w:rPr>
          <w:rFonts w:ascii="Century Gothic" w:eastAsia="Times New Roman" w:hAnsi="Century Gothic" w:cs="Calibri"/>
          <w:i/>
          <w:kern w:val="0"/>
          <w:sz w:val="21"/>
          <w:szCs w:val="21"/>
          <w:lang w:eastAsia="pl-PL"/>
          <w14:ligatures w14:val="none"/>
        </w:rPr>
        <w:t>ooś</w:t>
      </w:r>
      <w:proofErr w:type="spellEnd"/>
      <w:r w:rsidRPr="00423B95">
        <w:rPr>
          <w:rFonts w:ascii="Century Gothic" w:eastAsia="Times New Roman" w:hAnsi="Century Gothic" w:cs="Calibri"/>
          <w:i/>
          <w:kern w:val="0"/>
          <w:sz w:val="21"/>
          <w:szCs w:val="21"/>
          <w:lang w:eastAsia="pl-PL"/>
          <w14:ligatures w14:val="none"/>
        </w:rPr>
        <w:t>)</w:t>
      </w:r>
      <w:r w:rsidRPr="00423B95">
        <w:rPr>
          <w:rFonts w:ascii="Century Gothic" w:eastAsia="Times New Roman" w:hAnsi="Century Gothic" w:cs="Calibri"/>
          <w:kern w:val="0"/>
          <w:sz w:val="21"/>
          <w:szCs w:val="21"/>
          <w:lang w:eastAsia="pl-PL"/>
          <w14:ligatures w14:val="none"/>
        </w:rPr>
        <w:t>, które z racji swojego charakteru nie pociąga za sobą zagrożeń, a tym bardziej znaczących oddziaływań, ze względu na:</w:t>
      </w:r>
    </w:p>
    <w:p w14:paraId="5D314F77" w14:textId="77777777" w:rsidR="00EA7EF3" w:rsidRPr="00423B95" w:rsidRDefault="00EA7EF3" w:rsidP="00EA7EF3">
      <w:pPr>
        <w:numPr>
          <w:ilvl w:val="0"/>
          <w:numId w:val="5"/>
        </w:numPr>
        <w:spacing w:after="0" w:line="276" w:lineRule="auto"/>
        <w:jc w:val="both"/>
        <w:rPr>
          <w:rFonts w:ascii="Century Gothic" w:eastAsia="Times New Roman" w:hAnsi="Century Gothic" w:cs="Calibri"/>
          <w:kern w:val="0"/>
          <w:sz w:val="21"/>
          <w:szCs w:val="21"/>
          <w:lang w:eastAsia="pl-PL"/>
          <w14:ligatures w14:val="none"/>
        </w:rPr>
      </w:pPr>
      <w:r w:rsidRPr="00423B95">
        <w:rPr>
          <w:rFonts w:ascii="Century Gothic" w:eastAsia="Times New Roman" w:hAnsi="Century Gothic" w:cs="Calibri"/>
          <w:kern w:val="0"/>
          <w:sz w:val="21"/>
          <w:szCs w:val="21"/>
          <w:lang w:eastAsia="pl-PL"/>
          <w14:ligatures w14:val="none"/>
        </w:rPr>
        <w:lastRenderedPageBreak/>
        <w:t>zasięg, wielkość i złożoność oddziaływania,  jego  prawdopodobieństwo,  czas  trwania, częstotliwość i odwracalność, możliwości ograniczenia oddziaływania,</w:t>
      </w:r>
    </w:p>
    <w:p w14:paraId="47C270AE" w14:textId="77777777" w:rsidR="00EA7EF3" w:rsidRPr="00423B95" w:rsidRDefault="00EA7EF3" w:rsidP="00EA7EF3">
      <w:pPr>
        <w:numPr>
          <w:ilvl w:val="0"/>
          <w:numId w:val="5"/>
        </w:numPr>
        <w:spacing w:after="0" w:line="276" w:lineRule="auto"/>
        <w:jc w:val="both"/>
        <w:rPr>
          <w:rFonts w:ascii="Century Gothic" w:eastAsia="Times New Roman" w:hAnsi="Century Gothic" w:cs="Calibri"/>
          <w:kern w:val="0"/>
          <w:sz w:val="21"/>
          <w:szCs w:val="21"/>
          <w:lang w:eastAsia="pl-PL"/>
          <w14:ligatures w14:val="none"/>
        </w:rPr>
      </w:pPr>
      <w:r w:rsidRPr="00423B95">
        <w:rPr>
          <w:rFonts w:ascii="Century Gothic" w:eastAsia="Times New Roman" w:hAnsi="Century Gothic" w:cs="Calibri"/>
          <w:kern w:val="0"/>
          <w:sz w:val="21"/>
          <w:szCs w:val="21"/>
          <w:lang w:eastAsia="pl-PL"/>
          <w14:ligatures w14:val="none"/>
        </w:rPr>
        <w:t xml:space="preserve">brak transgranicznego oddziaływania, </w:t>
      </w:r>
    </w:p>
    <w:p w14:paraId="0969A4FF" w14:textId="77777777" w:rsidR="00EA7EF3" w:rsidRPr="00423B95" w:rsidRDefault="00EA7EF3" w:rsidP="00EA7EF3">
      <w:pPr>
        <w:shd w:val="clear" w:color="auto" w:fill="FFFFFF"/>
        <w:spacing w:after="0" w:line="276" w:lineRule="auto"/>
        <w:jc w:val="both"/>
        <w:rPr>
          <w:rFonts w:ascii="Century Gothic" w:eastAsia="Times New Roman" w:hAnsi="Century Gothic" w:cs="Calibri"/>
          <w:kern w:val="0"/>
          <w:sz w:val="21"/>
          <w:szCs w:val="21"/>
          <w14:ligatures w14:val="none"/>
        </w:rPr>
      </w:pPr>
      <w:r w:rsidRPr="00423B95">
        <w:rPr>
          <w:rFonts w:ascii="Century Gothic" w:eastAsia="Times New Roman" w:hAnsi="Century Gothic" w:cs="Calibri"/>
          <w:kern w:val="0"/>
          <w:sz w:val="21"/>
          <w:szCs w:val="21"/>
          <w14:ligatures w14:val="none"/>
        </w:rPr>
        <w:t>uznał, że po zrealizowaniu przez Inwestora wszystkich warunków zawartych 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potrzeby przeprowadzenia oceny oddziaływania przedsięwzięcia na środowisko.</w:t>
      </w:r>
    </w:p>
    <w:p w14:paraId="34EB7FB0" w14:textId="77777777" w:rsidR="00EA7EF3" w:rsidRPr="00423B95" w:rsidRDefault="00EA7EF3" w:rsidP="00EA7EF3">
      <w:pPr>
        <w:spacing w:after="0" w:line="276" w:lineRule="auto"/>
        <w:jc w:val="both"/>
        <w:rPr>
          <w:rFonts w:ascii="Century Gothic" w:eastAsia="Times New Roman" w:hAnsi="Century Gothic" w:cs="Calibri"/>
          <w:kern w:val="0"/>
          <w:sz w:val="21"/>
          <w:szCs w:val="21"/>
          <w:lang w:eastAsia="pl-PL"/>
          <w14:ligatures w14:val="none"/>
        </w:rPr>
      </w:pPr>
      <w:r w:rsidRPr="00423B95">
        <w:rPr>
          <w:rFonts w:ascii="Century Gothic" w:eastAsia="Times New Roman" w:hAnsi="Century Gothic" w:cs="Calibri"/>
          <w:kern w:val="0"/>
          <w:sz w:val="21"/>
          <w:szCs w:val="21"/>
          <w:lang w:eastAsia="pl-PL"/>
          <w14:ligatures w14:val="none"/>
        </w:rPr>
        <w:t>10. Dla terenu (działki nr</w:t>
      </w:r>
      <w:r w:rsidRPr="00423B95">
        <w:rPr>
          <w:rFonts w:ascii="Century Gothic" w:hAnsi="Century Gothic"/>
          <w:sz w:val="21"/>
          <w:szCs w:val="21"/>
        </w:rPr>
        <w:t xml:space="preserve"> </w:t>
      </w:r>
      <w:r w:rsidRPr="00423B95">
        <w:rPr>
          <w:rFonts w:ascii="Century Gothic" w:hAnsi="Century Gothic"/>
          <w:sz w:val="20"/>
          <w:szCs w:val="20"/>
        </w:rPr>
        <w:t>16/1, 16/2, 16/3, 16/4, 16/5, 16/6, 16/7, 16/8, 16/9 i 16/10</w:t>
      </w:r>
      <w:r w:rsidRPr="00423B95">
        <w:rPr>
          <w:rFonts w:ascii="Century Gothic" w:eastAsia="Times New Roman" w:hAnsi="Century Gothic" w:cs="Calibri"/>
          <w:kern w:val="0"/>
          <w:sz w:val="21"/>
          <w:szCs w:val="21"/>
          <w:lang w:eastAsia="pl-PL"/>
          <w14:ligatures w14:val="none"/>
        </w:rPr>
        <w:t>, położone w miejscowości Ka</w:t>
      </w:r>
      <w:r>
        <w:rPr>
          <w:rFonts w:ascii="Century Gothic" w:eastAsia="Times New Roman" w:hAnsi="Century Gothic" w:cs="Calibri"/>
          <w:kern w:val="0"/>
          <w:sz w:val="21"/>
          <w:szCs w:val="21"/>
          <w:lang w:eastAsia="pl-PL"/>
          <w14:ligatures w14:val="none"/>
        </w:rPr>
        <w:t>l</w:t>
      </w:r>
      <w:r w:rsidRPr="00423B95">
        <w:rPr>
          <w:rFonts w:ascii="Century Gothic" w:eastAsia="Times New Roman" w:hAnsi="Century Gothic" w:cs="Calibri"/>
          <w:kern w:val="0"/>
          <w:sz w:val="21"/>
          <w:szCs w:val="21"/>
          <w:lang w:eastAsia="pl-PL"/>
          <w14:ligatures w14:val="none"/>
        </w:rPr>
        <w:t>ina), na którym ma być zlokalizowane przedsięwzięcie nie istnieje uchwalony miejscowy plan zagospodarowania przestrzennego.</w:t>
      </w:r>
    </w:p>
    <w:p w14:paraId="498E4D7E" w14:textId="77777777" w:rsidR="00EA7EF3" w:rsidRPr="00423B95" w:rsidRDefault="00EA7EF3" w:rsidP="00EA7EF3">
      <w:pPr>
        <w:spacing w:after="0" w:line="276" w:lineRule="auto"/>
        <w:jc w:val="both"/>
        <w:rPr>
          <w:rFonts w:ascii="Century Gothic" w:eastAsia="Times New Roman" w:hAnsi="Century Gothic" w:cs="Calibri"/>
          <w:kern w:val="0"/>
          <w:sz w:val="21"/>
          <w:szCs w:val="21"/>
          <w:lang w:eastAsia="pl-PL"/>
          <w14:ligatures w14:val="none"/>
        </w:rPr>
      </w:pPr>
      <w:r w:rsidRPr="00423B95">
        <w:rPr>
          <w:rFonts w:ascii="Century Gothic" w:eastAsia="Times New Roman" w:hAnsi="Century Gothic" w:cs="Calibri"/>
          <w:kern w:val="0"/>
          <w:sz w:val="21"/>
          <w:szCs w:val="21"/>
          <w:lang w:eastAsia="pl-PL"/>
          <w14:ligatures w14:val="none"/>
        </w:rPr>
        <w:t>11. Stosownie do art. 10 ustawy z dnia 14 czerwca 1960 r. Kodeks postępowania administracyjnego /Dz. U. 2024 r., poz. 572/, przed wydaniem decyzji umożliwiono stronom wypowiedzenie, co do zebranych dowodów i materiałów oraz zgłoszonych żądań. Z powyższej możliwości strony nie skorzystały.</w:t>
      </w:r>
    </w:p>
    <w:p w14:paraId="733FAA58" w14:textId="77777777" w:rsidR="00EA7EF3" w:rsidRPr="00423B95" w:rsidRDefault="00EA7EF3" w:rsidP="00EA7EF3">
      <w:pPr>
        <w:spacing w:after="0" w:line="276" w:lineRule="auto"/>
        <w:jc w:val="both"/>
        <w:rPr>
          <w:rFonts w:ascii="Century Gothic" w:eastAsia="Times New Roman" w:hAnsi="Century Gothic" w:cs="Calibri"/>
          <w:kern w:val="0"/>
          <w:sz w:val="21"/>
          <w:szCs w:val="21"/>
          <w:lang w:eastAsia="pl-PL"/>
          <w14:ligatures w14:val="none"/>
        </w:rPr>
      </w:pPr>
      <w:r w:rsidRPr="00423B95">
        <w:rPr>
          <w:rFonts w:ascii="Century Gothic" w:eastAsia="Times New Roman" w:hAnsi="Century Gothic" w:cs="Calibri"/>
          <w:kern w:val="0"/>
          <w:sz w:val="21"/>
          <w:szCs w:val="21"/>
          <w:lang w:eastAsia="pl-PL"/>
          <w14:ligatures w14:val="none"/>
        </w:rPr>
        <w:t xml:space="preserve">12. Wójt Gminy Gniezno po przeprowadzeniu analizy dokumentacji, stwierdził, że zebrane materiały są wystarczające do zajęcia stanowiska w przedmiotowej sprawie. Wszelkie zarzuty stron postępowania mogą być formułowane w odwołaniu od decyzji </w:t>
      </w:r>
      <w:r w:rsidRPr="00423B95">
        <w:rPr>
          <w:rFonts w:ascii="Century Gothic" w:eastAsia="Times New Roman" w:hAnsi="Century Gothic" w:cs="Calibri"/>
          <w:kern w:val="0"/>
          <w:sz w:val="21"/>
          <w:szCs w:val="21"/>
          <w:lang w:eastAsia="pl-PL"/>
          <w14:ligatures w14:val="none"/>
        </w:rPr>
        <w:br/>
        <w:t>o środowiskowych uwarunkowaniach i skierowane do organu właściwego do ich rozpatrzenia.</w:t>
      </w:r>
    </w:p>
    <w:p w14:paraId="6C76EE6C" w14:textId="77777777" w:rsidR="00EA7EF3" w:rsidRPr="00423B95" w:rsidRDefault="00EA7EF3" w:rsidP="00EA7EF3">
      <w:pPr>
        <w:spacing w:after="120" w:line="240" w:lineRule="auto"/>
        <w:jc w:val="center"/>
        <w:rPr>
          <w:rFonts w:ascii="Century Gothic" w:eastAsia="Times New Roman" w:hAnsi="Century Gothic" w:cs="Times New Roman"/>
          <w:b/>
          <w:bCs/>
          <w:kern w:val="0"/>
          <w:sz w:val="18"/>
          <w:szCs w:val="18"/>
          <w:lang w:eastAsia="pl-PL"/>
          <w14:ligatures w14:val="none"/>
        </w:rPr>
      </w:pPr>
      <w:r w:rsidRPr="00423B95">
        <w:rPr>
          <w:rFonts w:ascii="Century Gothic" w:eastAsia="Times New Roman" w:hAnsi="Century Gothic" w:cs="Times New Roman"/>
          <w:b/>
          <w:bCs/>
          <w:kern w:val="0"/>
          <w:sz w:val="18"/>
          <w:szCs w:val="18"/>
          <w:lang w:eastAsia="pl-PL"/>
          <w14:ligatures w14:val="none"/>
        </w:rPr>
        <w:t>Pouczenie</w:t>
      </w:r>
    </w:p>
    <w:p w14:paraId="29A59A33" w14:textId="77777777" w:rsidR="00EA7EF3" w:rsidRPr="00423B95" w:rsidRDefault="00EA7EF3" w:rsidP="00EA7EF3">
      <w:pPr>
        <w:numPr>
          <w:ilvl w:val="0"/>
          <w:numId w:val="6"/>
        </w:numPr>
        <w:tabs>
          <w:tab w:val="left" w:pos="426"/>
        </w:tabs>
        <w:spacing w:after="0" w:line="240" w:lineRule="auto"/>
        <w:jc w:val="both"/>
        <w:rPr>
          <w:rFonts w:ascii="Century Gothic" w:eastAsia="Times New Roman" w:hAnsi="Century Gothic" w:cs="Times New Roman"/>
          <w:kern w:val="0"/>
          <w:sz w:val="18"/>
          <w:szCs w:val="18"/>
          <w14:ligatures w14:val="none"/>
        </w:rPr>
      </w:pPr>
      <w:r w:rsidRPr="00423B95">
        <w:rPr>
          <w:rFonts w:ascii="Century Gothic" w:eastAsia="Times New Roman" w:hAnsi="Century Gothic" w:cs="Times New Roman"/>
          <w:kern w:val="0"/>
          <w:sz w:val="18"/>
          <w:szCs w:val="18"/>
          <w14:ligatures w14:val="none"/>
        </w:rPr>
        <w:t>Od niniejszej decyzji przysługuje stronom odwołanie do Samorządowego Kolegium Odwoławczego w Poznaniu za pośrednictwem Wójta Gminy Gniezno w terminie 14 dni od dnia doręczenia niniejszej decyzji.</w:t>
      </w:r>
    </w:p>
    <w:p w14:paraId="51195ED5" w14:textId="77777777" w:rsidR="00EA7EF3" w:rsidRPr="00423B95" w:rsidRDefault="00EA7EF3" w:rsidP="00EA7EF3">
      <w:pPr>
        <w:numPr>
          <w:ilvl w:val="0"/>
          <w:numId w:val="6"/>
        </w:numPr>
        <w:tabs>
          <w:tab w:val="left" w:pos="426"/>
        </w:tabs>
        <w:spacing w:after="0" w:line="240" w:lineRule="auto"/>
        <w:jc w:val="both"/>
        <w:rPr>
          <w:rFonts w:ascii="Century Gothic" w:eastAsia="Times New Roman" w:hAnsi="Century Gothic" w:cs="Times New Roman"/>
          <w:kern w:val="0"/>
          <w:sz w:val="18"/>
          <w:szCs w:val="18"/>
          <w14:ligatures w14:val="none"/>
        </w:rPr>
      </w:pPr>
      <w:r w:rsidRPr="00423B95">
        <w:rPr>
          <w:rFonts w:ascii="Century Gothic" w:eastAsia="Times New Roman" w:hAnsi="Century Gothic" w:cs="Times New Roman"/>
          <w:kern w:val="0"/>
          <w:sz w:val="18"/>
          <w:szCs w:val="18"/>
          <w:lang w:eastAsia="ar-SA"/>
          <w14:ligatures w14:val="none"/>
        </w:rPr>
        <w:t xml:space="preserve">Przed upływem terminu do wniesienia odwołania strona może zrzec się prawa do wniesienia odwołania </w:t>
      </w:r>
      <w:r w:rsidRPr="00423B95">
        <w:rPr>
          <w:rFonts w:ascii="Century Gothic" w:eastAsia="Times New Roman" w:hAnsi="Century Gothic" w:cs="Times New Roman"/>
          <w:kern w:val="0"/>
          <w:sz w:val="18"/>
          <w:szCs w:val="18"/>
          <w14:ligatures w14:val="none"/>
        </w:rPr>
        <w:t xml:space="preserve">wobec organu administracji publicznej, który wydał decyzję </w:t>
      </w:r>
      <w:r w:rsidRPr="00423B95">
        <w:rPr>
          <w:rFonts w:ascii="Century Gothic" w:eastAsia="Times New Roman" w:hAnsi="Century Gothic" w:cs="Times New Roman"/>
          <w:kern w:val="0"/>
          <w:sz w:val="18"/>
          <w:szCs w:val="18"/>
          <w:lang w:eastAsia="ar-SA"/>
          <w14:ligatures w14:val="none"/>
        </w:rPr>
        <w:t xml:space="preserve">- art. 127 a </w:t>
      </w:r>
      <w:r w:rsidRPr="00423B95">
        <w:rPr>
          <w:rFonts w:ascii="Century Gothic" w:eastAsia="Times New Roman" w:hAnsi="Century Gothic" w:cs="Times New Roman"/>
          <w:kern w:val="0"/>
          <w:sz w:val="18"/>
          <w:szCs w:val="18"/>
          <w14:ligatures w14:val="none"/>
        </w:rPr>
        <w:t>§ 1 k.p.a.</w:t>
      </w:r>
    </w:p>
    <w:p w14:paraId="5557F615" w14:textId="77777777" w:rsidR="00EA7EF3" w:rsidRPr="00423B95" w:rsidRDefault="00EA7EF3" w:rsidP="00EA7EF3">
      <w:pPr>
        <w:numPr>
          <w:ilvl w:val="0"/>
          <w:numId w:val="6"/>
        </w:numPr>
        <w:tabs>
          <w:tab w:val="left" w:pos="426"/>
        </w:tabs>
        <w:spacing w:after="0" w:line="240" w:lineRule="auto"/>
        <w:jc w:val="both"/>
        <w:rPr>
          <w:rFonts w:ascii="Century Gothic" w:eastAsia="Times New Roman" w:hAnsi="Century Gothic" w:cs="Times New Roman"/>
          <w:kern w:val="0"/>
          <w:sz w:val="18"/>
          <w:szCs w:val="18"/>
          <w14:ligatures w14:val="none"/>
        </w:rPr>
      </w:pPr>
      <w:r w:rsidRPr="00423B95">
        <w:rPr>
          <w:rFonts w:ascii="Century Gothic" w:eastAsia="Times New Roman" w:hAnsi="Century Gothic" w:cs="Times New Roman"/>
          <w:kern w:val="0"/>
          <w:sz w:val="18"/>
          <w:szCs w:val="18"/>
          <w14:ligatures w14:val="none"/>
        </w:rPr>
        <w:t>Z dniem doręczenia organowi administracji publicznej oświadczenia o zrzeczeniu się prawa do wniesienia odwołania przez ostatnią ze stron postępowania, decyzja staje się ostateczna i prawomocna.</w:t>
      </w:r>
    </w:p>
    <w:p w14:paraId="2A886244" w14:textId="77777777" w:rsidR="00EA7EF3" w:rsidRPr="00423B95" w:rsidRDefault="00EA7EF3" w:rsidP="00EA7EF3">
      <w:pPr>
        <w:numPr>
          <w:ilvl w:val="0"/>
          <w:numId w:val="6"/>
        </w:numPr>
        <w:tabs>
          <w:tab w:val="left" w:pos="426"/>
        </w:tabs>
        <w:spacing w:after="0" w:line="240" w:lineRule="auto"/>
        <w:jc w:val="both"/>
        <w:rPr>
          <w:rFonts w:ascii="Century Gothic" w:eastAsia="Times New Roman" w:hAnsi="Century Gothic" w:cs="Times New Roman"/>
          <w:kern w:val="0"/>
          <w:sz w:val="18"/>
          <w:szCs w:val="18"/>
          <w14:ligatures w14:val="none"/>
        </w:rPr>
      </w:pPr>
      <w:r w:rsidRPr="00423B95">
        <w:rPr>
          <w:rFonts w:ascii="Century Gothic" w:eastAsia="Times New Roman" w:hAnsi="Century Gothic" w:cs="Times New Roman"/>
          <w:kern w:val="0"/>
          <w:sz w:val="18"/>
          <w:szCs w:val="18"/>
          <w14:ligatures w14:val="none"/>
        </w:rPr>
        <w:t xml:space="preserve">W przypadku wymienionym w pkt. 2 i 3 odwołanie służyć nie będzie i decyzja stanie się ostateczna i prawomocna z dniem doręczenia organowi oświadczenia o zrzeczeniu się prawa do odwołania -  </w:t>
      </w:r>
      <w:r w:rsidRPr="00423B95">
        <w:rPr>
          <w:rFonts w:ascii="Century Gothic" w:eastAsia="Times New Roman" w:hAnsi="Century Gothic" w:cs="Times New Roman"/>
          <w:kern w:val="0"/>
          <w:sz w:val="18"/>
          <w:szCs w:val="18"/>
          <w:lang w:eastAsia="ar-SA"/>
          <w14:ligatures w14:val="none"/>
        </w:rPr>
        <w:t xml:space="preserve">art. 107 </w:t>
      </w:r>
      <w:r w:rsidRPr="00423B95">
        <w:rPr>
          <w:rFonts w:ascii="Century Gothic" w:eastAsia="Times New Roman" w:hAnsi="Century Gothic" w:cs="Times New Roman"/>
          <w:kern w:val="0"/>
          <w:sz w:val="18"/>
          <w:szCs w:val="18"/>
          <w14:ligatures w14:val="none"/>
        </w:rPr>
        <w:t>§ 1 pkt. 7 k.p.a.</w:t>
      </w:r>
    </w:p>
    <w:p w14:paraId="4D2E8DFD" w14:textId="77777777" w:rsidR="00EA7EF3" w:rsidRPr="00423B95" w:rsidRDefault="00EA7EF3" w:rsidP="00EA7EF3">
      <w:pPr>
        <w:numPr>
          <w:ilvl w:val="0"/>
          <w:numId w:val="6"/>
        </w:numPr>
        <w:tabs>
          <w:tab w:val="left" w:pos="426"/>
        </w:tabs>
        <w:spacing w:after="0" w:line="240" w:lineRule="auto"/>
        <w:jc w:val="both"/>
        <w:rPr>
          <w:rFonts w:ascii="Century Gothic" w:eastAsia="Times New Roman" w:hAnsi="Century Gothic" w:cs="Times New Roman"/>
          <w:kern w:val="0"/>
          <w:sz w:val="18"/>
          <w:szCs w:val="18"/>
          <w14:ligatures w14:val="none"/>
        </w:rPr>
      </w:pPr>
      <w:r w:rsidRPr="00423B95">
        <w:rPr>
          <w:rFonts w:ascii="Century Gothic" w:eastAsia="Times New Roman" w:hAnsi="Century Gothic" w:cs="Times New Roman"/>
          <w:kern w:val="0"/>
          <w:sz w:val="18"/>
          <w:szCs w:val="18"/>
          <w14:ligatures w14:val="none"/>
        </w:rPr>
        <w:t xml:space="preserve">Decyzja podlega wykonaniu przed upływem terminu do wniesienia odwołania, jeżeli jest zgodna z żądaniem wszystkich stron lub jeżeli wszystkie strony zrzekły się prawa do wniesienia odwołania. -  </w:t>
      </w:r>
      <w:r w:rsidRPr="00423B95">
        <w:rPr>
          <w:rFonts w:ascii="Century Gothic" w:eastAsia="Times New Roman" w:hAnsi="Century Gothic" w:cs="Times New Roman"/>
          <w:kern w:val="0"/>
          <w:sz w:val="18"/>
          <w:szCs w:val="18"/>
          <w:lang w:eastAsia="ar-SA"/>
          <w14:ligatures w14:val="none"/>
        </w:rPr>
        <w:t xml:space="preserve">art. 130 </w:t>
      </w:r>
      <w:r w:rsidRPr="00423B95">
        <w:rPr>
          <w:rFonts w:ascii="Century Gothic" w:eastAsia="Times New Roman" w:hAnsi="Century Gothic" w:cs="Times New Roman"/>
          <w:kern w:val="0"/>
          <w:sz w:val="18"/>
          <w:szCs w:val="18"/>
          <w14:ligatures w14:val="none"/>
        </w:rPr>
        <w:t>§ 4 k.p.a.</w:t>
      </w:r>
    </w:p>
    <w:p w14:paraId="0E0A0119" w14:textId="77777777" w:rsidR="00EA7EF3" w:rsidRPr="00423B95" w:rsidRDefault="00EA7EF3" w:rsidP="00EA7EF3">
      <w:pPr>
        <w:numPr>
          <w:ilvl w:val="0"/>
          <w:numId w:val="6"/>
        </w:numPr>
        <w:tabs>
          <w:tab w:val="left" w:pos="426"/>
        </w:tabs>
        <w:spacing w:after="0" w:line="240" w:lineRule="auto"/>
        <w:jc w:val="both"/>
        <w:rPr>
          <w:rFonts w:ascii="Century Gothic" w:eastAsia="Times New Roman" w:hAnsi="Century Gothic" w:cs="Times New Roman"/>
          <w:kern w:val="0"/>
          <w:sz w:val="18"/>
          <w:szCs w:val="18"/>
          <w14:ligatures w14:val="none"/>
        </w:rPr>
      </w:pPr>
      <w:r w:rsidRPr="00423B95">
        <w:rPr>
          <w:rFonts w:ascii="Century Gothic" w:eastAsia="Times New Roman" w:hAnsi="Century Gothic" w:cs="Times New Roman"/>
          <w:kern w:val="0"/>
          <w:sz w:val="18"/>
          <w:szCs w:val="18"/>
          <w:lang w:eastAsia="pl-PL"/>
          <w14:ligatures w14:val="none"/>
        </w:rPr>
        <w:t>Decyzję o środowiskowych uwarunkowaniach dołącza się do wniosku o wydanie decyzji, o której mowa w art. 72 ust. 1 oraz zgłoszenia</w:t>
      </w:r>
      <w:r w:rsidRPr="00423B95">
        <w:rPr>
          <w:rFonts w:ascii="Century Gothic" w:eastAsia="Times New Roman" w:hAnsi="Century Gothic" w:cs="Times New Roman"/>
          <w:bCs/>
          <w:kern w:val="0"/>
          <w:sz w:val="18"/>
          <w:szCs w:val="18"/>
          <w:lang w:eastAsia="pl-PL"/>
          <w14:ligatures w14:val="none"/>
        </w:rPr>
        <w:t>, o którym mowa w ust. 1a</w:t>
      </w:r>
      <w:r w:rsidRPr="00423B95">
        <w:rPr>
          <w:rFonts w:ascii="Century Gothic" w:eastAsia="Times New Roman" w:hAnsi="Century Gothic" w:cs="Times New Roman"/>
          <w:kern w:val="0"/>
          <w:sz w:val="18"/>
          <w:szCs w:val="18"/>
          <w:lang w:eastAsia="pl-PL"/>
          <w14:ligatures w14:val="none"/>
        </w:rPr>
        <w:t xml:space="preserve"> ustawy z dnia 3 października 2008 roku o udostępnianiu informacji o środowisku i jego ochronie, udziale społeczeństwa w ochronie środowiska oraz o ocenach oddziaływania na środowisko; </w:t>
      </w:r>
    </w:p>
    <w:p w14:paraId="30D8DBEC" w14:textId="77777777" w:rsidR="00EA7EF3" w:rsidRPr="00423B95" w:rsidRDefault="00EA7EF3" w:rsidP="00EA7EF3">
      <w:pPr>
        <w:numPr>
          <w:ilvl w:val="0"/>
          <w:numId w:val="6"/>
        </w:numPr>
        <w:tabs>
          <w:tab w:val="left" w:pos="426"/>
        </w:tabs>
        <w:spacing w:after="0" w:line="240" w:lineRule="auto"/>
        <w:jc w:val="both"/>
        <w:rPr>
          <w:rFonts w:ascii="Century Gothic" w:eastAsia="Times New Roman" w:hAnsi="Century Gothic" w:cs="Times New Roman"/>
          <w:kern w:val="0"/>
          <w:sz w:val="18"/>
          <w:szCs w:val="18"/>
          <w14:ligatures w14:val="none"/>
        </w:rPr>
      </w:pPr>
      <w:r w:rsidRPr="00423B95">
        <w:rPr>
          <w:rFonts w:ascii="Century Gothic" w:eastAsia="Times New Roman" w:hAnsi="Century Gothic" w:cs="Times New Roman"/>
          <w:kern w:val="0"/>
          <w:sz w:val="18"/>
          <w:szCs w:val="18"/>
          <w:lang w:eastAsia="pl-PL"/>
          <w14:ligatures w14:val="none"/>
        </w:rPr>
        <w:t xml:space="preserve">Za niniejszą decyzję administracyjną pobrano opłatę skarbową w wysokości 205 zł zgodnie z częścią I, pkt. 45  załącznika do ustawy z dnia 16 listopada 2006 r. o opłacie skarbowej </w:t>
      </w:r>
      <w:r w:rsidRPr="00423B95">
        <w:rPr>
          <w:rFonts w:ascii="Century Gothic" w:hAnsi="Century Gothic"/>
          <w:sz w:val="18"/>
          <w:szCs w:val="18"/>
        </w:rPr>
        <w:t>/Dz. U. z 2023 r. poz. 2111/.</w:t>
      </w:r>
    </w:p>
    <w:p w14:paraId="0A79BD49" w14:textId="77777777" w:rsidR="00EA7EF3" w:rsidRPr="00423B95" w:rsidRDefault="00EA7EF3" w:rsidP="00EA7EF3">
      <w:pPr>
        <w:spacing w:after="0" w:line="276" w:lineRule="auto"/>
        <w:rPr>
          <w:rFonts w:ascii="Century Gothic" w:eastAsia="Times New Roman" w:hAnsi="Century Gothic" w:cs="Times New Roman"/>
          <w:b/>
          <w:bCs/>
          <w:kern w:val="0"/>
          <w:sz w:val="18"/>
          <w:szCs w:val="21"/>
          <w:u w:val="single"/>
          <w14:ligatures w14:val="none"/>
        </w:rPr>
      </w:pPr>
    </w:p>
    <w:p w14:paraId="7B5F571B" w14:textId="77777777" w:rsidR="00EA7EF3" w:rsidRPr="00423B95" w:rsidRDefault="00EA7EF3" w:rsidP="00EA7EF3">
      <w:pPr>
        <w:spacing w:after="0" w:line="276" w:lineRule="auto"/>
        <w:rPr>
          <w:rFonts w:ascii="Century Gothic" w:eastAsia="Times New Roman" w:hAnsi="Century Gothic" w:cs="Times New Roman"/>
          <w:b/>
          <w:bCs/>
          <w:kern w:val="0"/>
          <w:sz w:val="18"/>
          <w:szCs w:val="21"/>
          <w:u w:val="single"/>
          <w14:ligatures w14:val="none"/>
        </w:rPr>
      </w:pPr>
    </w:p>
    <w:p w14:paraId="139DB2DA" w14:textId="77777777" w:rsidR="00EA7EF3" w:rsidRPr="00423B95" w:rsidRDefault="00EA7EF3" w:rsidP="00EA7EF3">
      <w:pPr>
        <w:spacing w:after="0" w:line="276" w:lineRule="auto"/>
        <w:rPr>
          <w:rFonts w:ascii="Century Gothic" w:eastAsia="Times New Roman" w:hAnsi="Century Gothic" w:cs="Times New Roman"/>
          <w:b/>
          <w:bCs/>
          <w:kern w:val="0"/>
          <w:sz w:val="16"/>
          <w:szCs w:val="16"/>
          <w:u w:val="single"/>
          <w14:ligatures w14:val="none"/>
        </w:rPr>
      </w:pPr>
      <w:r w:rsidRPr="00423B95">
        <w:rPr>
          <w:rFonts w:ascii="Century Gothic" w:eastAsia="Times New Roman" w:hAnsi="Century Gothic" w:cs="Times New Roman"/>
          <w:b/>
          <w:bCs/>
          <w:kern w:val="0"/>
          <w:sz w:val="16"/>
          <w:szCs w:val="16"/>
          <w:u w:val="single"/>
          <w14:ligatures w14:val="none"/>
        </w:rPr>
        <w:t>Otrzymują:</w:t>
      </w:r>
    </w:p>
    <w:p w14:paraId="23E31B68" w14:textId="77777777" w:rsidR="00EA7EF3" w:rsidRPr="00423B95" w:rsidRDefault="00EA7EF3" w:rsidP="00EA7EF3">
      <w:pPr>
        <w:numPr>
          <w:ilvl w:val="0"/>
          <w:numId w:val="7"/>
        </w:numPr>
        <w:shd w:val="clear" w:color="auto" w:fill="FFFFFF"/>
        <w:spacing w:after="0" w:line="276" w:lineRule="auto"/>
        <w:jc w:val="both"/>
        <w:rPr>
          <w:rFonts w:ascii="Century Gothic" w:eastAsia="Times New Roman" w:hAnsi="Century Gothic" w:cs="Times New Roman"/>
          <w:kern w:val="0"/>
          <w:sz w:val="16"/>
          <w:szCs w:val="16"/>
          <w14:ligatures w14:val="none"/>
        </w:rPr>
      </w:pPr>
      <w:r w:rsidRPr="00423B95">
        <w:rPr>
          <w:rFonts w:ascii="Century Gothic" w:eastAsia="Times New Roman" w:hAnsi="Century Gothic" w:cs="Times New Roman"/>
          <w:kern w:val="0"/>
          <w:sz w:val="16"/>
          <w:szCs w:val="16"/>
          <w14:ligatures w14:val="none"/>
        </w:rPr>
        <w:t xml:space="preserve">Strony postępowania administracyjnego wg rozdzielnika </w:t>
      </w:r>
    </w:p>
    <w:p w14:paraId="5A9F1FD3" w14:textId="77777777" w:rsidR="00EA7EF3" w:rsidRPr="00423B95" w:rsidRDefault="00EA7EF3" w:rsidP="00EA7EF3">
      <w:pPr>
        <w:numPr>
          <w:ilvl w:val="0"/>
          <w:numId w:val="7"/>
        </w:numPr>
        <w:shd w:val="clear" w:color="auto" w:fill="FFFFFF"/>
        <w:spacing w:after="0" w:line="276" w:lineRule="auto"/>
        <w:jc w:val="both"/>
        <w:rPr>
          <w:rFonts w:ascii="Century Gothic" w:eastAsia="Times New Roman" w:hAnsi="Century Gothic" w:cs="Times New Roman"/>
          <w:kern w:val="0"/>
          <w:sz w:val="16"/>
          <w:szCs w:val="16"/>
          <w14:ligatures w14:val="none"/>
        </w:rPr>
      </w:pPr>
      <w:r w:rsidRPr="00423B95">
        <w:rPr>
          <w:rFonts w:ascii="Century Gothic" w:eastAsia="Times New Roman" w:hAnsi="Century Gothic" w:cs="Times New Roman"/>
          <w:kern w:val="0"/>
          <w:sz w:val="16"/>
          <w:szCs w:val="16"/>
          <w14:ligatures w14:val="none"/>
        </w:rPr>
        <w:t>a/a (sprawę prowadzi Rafał Skweres – tel. 61 424 57 66)</w:t>
      </w:r>
    </w:p>
    <w:p w14:paraId="2594C097" w14:textId="77777777" w:rsidR="00EA7EF3" w:rsidRPr="00423B95" w:rsidRDefault="00EA7EF3" w:rsidP="00EA7EF3">
      <w:pPr>
        <w:spacing w:after="0" w:line="276" w:lineRule="auto"/>
        <w:rPr>
          <w:rFonts w:ascii="Century Gothic" w:eastAsia="Times New Roman" w:hAnsi="Century Gothic" w:cs="Times New Roman"/>
          <w:b/>
          <w:bCs/>
          <w:kern w:val="0"/>
          <w:sz w:val="16"/>
          <w:szCs w:val="16"/>
          <w:u w:val="single"/>
          <w14:ligatures w14:val="none"/>
        </w:rPr>
      </w:pPr>
      <w:r w:rsidRPr="00423B95">
        <w:rPr>
          <w:rFonts w:ascii="Century Gothic" w:eastAsia="Times New Roman" w:hAnsi="Century Gothic" w:cs="Times New Roman"/>
          <w:b/>
          <w:bCs/>
          <w:kern w:val="0"/>
          <w:sz w:val="16"/>
          <w:szCs w:val="16"/>
          <w:u w:val="single"/>
          <w14:ligatures w14:val="none"/>
        </w:rPr>
        <w:t>Do wiadomości:</w:t>
      </w:r>
    </w:p>
    <w:p w14:paraId="56AD19A6" w14:textId="77777777" w:rsidR="00EA7EF3" w:rsidRPr="00423B95" w:rsidRDefault="00EA7EF3" w:rsidP="00EA7EF3">
      <w:pPr>
        <w:numPr>
          <w:ilvl w:val="0"/>
          <w:numId w:val="8"/>
        </w:numPr>
        <w:spacing w:after="0" w:line="276" w:lineRule="auto"/>
        <w:jc w:val="both"/>
        <w:rPr>
          <w:rFonts w:ascii="Century Gothic" w:eastAsia="Times New Roman" w:hAnsi="Century Gothic" w:cs="Times New Roman"/>
          <w:kern w:val="0"/>
          <w:sz w:val="16"/>
          <w:szCs w:val="16"/>
          <w:lang w:eastAsia="pl-PL"/>
          <w14:ligatures w14:val="none"/>
        </w:rPr>
      </w:pPr>
      <w:r w:rsidRPr="00423B95">
        <w:rPr>
          <w:rFonts w:ascii="Century Gothic" w:eastAsia="Times New Roman" w:hAnsi="Century Gothic" w:cs="Times New Roman"/>
          <w:kern w:val="0"/>
          <w:sz w:val="16"/>
          <w:szCs w:val="16"/>
          <w:lang w:eastAsia="pl-PL"/>
          <w14:ligatures w14:val="none"/>
        </w:rPr>
        <w:t>Regionalny Dyrektor Ochrony Środowiska w Poznaniu, ul. Kościuszki 57, 61-891 Poznań</w:t>
      </w:r>
    </w:p>
    <w:p w14:paraId="49BDE95E" w14:textId="77777777" w:rsidR="00EA7EF3" w:rsidRPr="00423B95" w:rsidRDefault="00EA7EF3" w:rsidP="00EA7EF3">
      <w:pPr>
        <w:numPr>
          <w:ilvl w:val="0"/>
          <w:numId w:val="8"/>
        </w:numPr>
        <w:spacing w:after="0" w:line="276" w:lineRule="auto"/>
        <w:jc w:val="both"/>
        <w:rPr>
          <w:rFonts w:ascii="Century Gothic" w:eastAsia="Times New Roman" w:hAnsi="Century Gothic" w:cs="Times New Roman"/>
          <w:kern w:val="0"/>
          <w:sz w:val="16"/>
          <w:szCs w:val="16"/>
          <w:lang w:eastAsia="pl-PL"/>
          <w14:ligatures w14:val="none"/>
        </w:rPr>
      </w:pPr>
      <w:r w:rsidRPr="00423B95">
        <w:rPr>
          <w:rFonts w:ascii="Century Gothic" w:eastAsia="Times New Roman" w:hAnsi="Century Gothic" w:cs="Times New Roman"/>
          <w:kern w:val="0"/>
          <w:sz w:val="16"/>
          <w:szCs w:val="16"/>
          <w:lang w:eastAsia="pl-PL"/>
          <w14:ligatures w14:val="none"/>
        </w:rPr>
        <w:t>Państwowy Powiatowy Inspektor Sanitarny w Gnieźnie, ul. Św. Wawrzyńca 18, 62-200 Gniezno</w:t>
      </w:r>
    </w:p>
    <w:p w14:paraId="15AEA2DA" w14:textId="77777777" w:rsidR="00EA7EF3" w:rsidRPr="00423B95" w:rsidRDefault="00EA7EF3" w:rsidP="00EA7EF3">
      <w:pPr>
        <w:numPr>
          <w:ilvl w:val="0"/>
          <w:numId w:val="8"/>
        </w:numPr>
        <w:spacing w:after="0" w:line="276" w:lineRule="auto"/>
        <w:jc w:val="both"/>
        <w:rPr>
          <w:rFonts w:ascii="Century Gothic" w:eastAsia="Times New Roman" w:hAnsi="Century Gothic" w:cs="Times New Roman"/>
          <w:kern w:val="0"/>
          <w:sz w:val="16"/>
          <w:szCs w:val="16"/>
          <w14:ligatures w14:val="none"/>
        </w:rPr>
      </w:pPr>
      <w:r w:rsidRPr="00423B95">
        <w:rPr>
          <w:rFonts w:ascii="Century Gothic" w:eastAsia="Times New Roman" w:hAnsi="Century Gothic" w:cs="Times New Roman"/>
          <w:kern w:val="0"/>
          <w:sz w:val="16"/>
          <w:szCs w:val="16"/>
          <w:lang w:eastAsia="pl-PL"/>
          <w14:ligatures w14:val="none"/>
        </w:rPr>
        <w:t>Dyrektor Zarządu Zlewni Wód Polskich w Poznaniu, ul. Szewska 1, 61-760 Poznań</w:t>
      </w:r>
    </w:p>
    <w:p w14:paraId="67AA47A8" w14:textId="77777777" w:rsidR="00EA7EF3" w:rsidRPr="00CE769F" w:rsidRDefault="00EA7EF3" w:rsidP="00EA7EF3">
      <w:pPr>
        <w:spacing w:after="0" w:line="276" w:lineRule="auto"/>
        <w:rPr>
          <w:rFonts w:ascii="Century Gothic" w:eastAsia="Times New Roman" w:hAnsi="Century Gothic" w:cs="Times New Roman"/>
          <w:b/>
          <w:kern w:val="0"/>
          <w:sz w:val="19"/>
          <w:szCs w:val="19"/>
          <w:lang w:eastAsia="pl-PL"/>
          <w14:ligatures w14:val="none"/>
        </w:rPr>
      </w:pPr>
    </w:p>
    <w:p w14:paraId="0A8BD64B" w14:textId="77777777" w:rsidR="00EA7EF3" w:rsidRPr="00CE769F" w:rsidRDefault="00EA7EF3" w:rsidP="00EA7EF3">
      <w:pPr>
        <w:spacing w:after="0" w:line="276" w:lineRule="auto"/>
        <w:jc w:val="center"/>
        <w:rPr>
          <w:rFonts w:ascii="Century Gothic" w:eastAsia="Times New Roman" w:hAnsi="Century Gothic" w:cs="Times New Roman"/>
          <w:b/>
          <w:kern w:val="0"/>
          <w:sz w:val="19"/>
          <w:szCs w:val="19"/>
          <w:lang w:eastAsia="pl-PL"/>
          <w14:ligatures w14:val="none"/>
        </w:rPr>
      </w:pPr>
    </w:p>
    <w:p w14:paraId="31A8C20E" w14:textId="77777777" w:rsidR="00EA7EF3" w:rsidRPr="00CE769F" w:rsidRDefault="00EA7EF3" w:rsidP="00EA7EF3">
      <w:pPr>
        <w:spacing w:after="0" w:line="276" w:lineRule="auto"/>
        <w:jc w:val="center"/>
        <w:rPr>
          <w:rFonts w:ascii="Century Gothic" w:eastAsia="Times New Roman" w:hAnsi="Century Gothic" w:cs="Times New Roman"/>
          <w:b/>
          <w:kern w:val="0"/>
          <w:sz w:val="19"/>
          <w:szCs w:val="19"/>
          <w:lang w:eastAsia="pl-PL"/>
          <w14:ligatures w14:val="none"/>
        </w:rPr>
      </w:pPr>
    </w:p>
    <w:p w14:paraId="32295F84" w14:textId="77777777" w:rsidR="00EA7EF3" w:rsidRPr="00CE769F" w:rsidRDefault="00EA7EF3" w:rsidP="00EA7EF3">
      <w:pPr>
        <w:spacing w:after="0" w:line="276" w:lineRule="auto"/>
        <w:jc w:val="center"/>
        <w:rPr>
          <w:rFonts w:ascii="Century Gothic" w:eastAsia="Times New Roman" w:hAnsi="Century Gothic" w:cs="Times New Roman"/>
          <w:b/>
          <w:kern w:val="0"/>
          <w:sz w:val="19"/>
          <w:szCs w:val="19"/>
          <w:lang w:eastAsia="pl-PL"/>
          <w14:ligatures w14:val="none"/>
        </w:rPr>
      </w:pPr>
      <w:r w:rsidRPr="00CE769F">
        <w:rPr>
          <w:rFonts w:ascii="Century Gothic" w:eastAsia="Times New Roman" w:hAnsi="Century Gothic" w:cs="Times New Roman"/>
          <w:b/>
          <w:kern w:val="0"/>
          <w:sz w:val="19"/>
          <w:szCs w:val="19"/>
          <w:lang w:eastAsia="pl-PL"/>
          <w14:ligatures w14:val="none"/>
        </w:rPr>
        <w:t xml:space="preserve">Załącznik do decyzji o środowiskowych uwarunkowaniach </w:t>
      </w:r>
      <w:r w:rsidRPr="00CE769F">
        <w:rPr>
          <w:rFonts w:ascii="Century Gothic" w:eastAsia="Times New Roman" w:hAnsi="Century Gothic" w:cs="Times New Roman"/>
          <w:b/>
          <w:kern w:val="0"/>
          <w:sz w:val="19"/>
          <w:szCs w:val="19"/>
          <w:lang w:eastAsia="pl-PL"/>
          <w14:ligatures w14:val="none"/>
        </w:rPr>
        <w:br/>
        <w:t>znak OŚR.6220.1.2025 z dnia 10 czerwca 2025 roku</w:t>
      </w:r>
    </w:p>
    <w:p w14:paraId="784208EA" w14:textId="77777777" w:rsidR="00EA7EF3" w:rsidRPr="00CE769F" w:rsidRDefault="00EA7EF3" w:rsidP="00EA7EF3">
      <w:pPr>
        <w:spacing w:after="0" w:line="276" w:lineRule="auto"/>
        <w:rPr>
          <w:rFonts w:ascii="Century Gothic" w:eastAsia="Times New Roman" w:hAnsi="Century Gothic" w:cs="Times New Roman"/>
          <w:kern w:val="0"/>
          <w:sz w:val="21"/>
          <w:szCs w:val="21"/>
          <w:lang w:eastAsia="pl-PL"/>
          <w14:ligatures w14:val="none"/>
        </w:rPr>
      </w:pPr>
    </w:p>
    <w:p w14:paraId="185D0188" w14:textId="77777777" w:rsidR="00EA7EF3" w:rsidRPr="00CE769F" w:rsidRDefault="00EA7EF3" w:rsidP="00EA7EF3">
      <w:pPr>
        <w:keepNext/>
        <w:spacing w:after="0" w:line="276" w:lineRule="auto"/>
        <w:jc w:val="center"/>
        <w:outlineLvl w:val="0"/>
        <w:rPr>
          <w:rFonts w:ascii="Century Gothic" w:eastAsia="Times New Roman" w:hAnsi="Century Gothic" w:cs="Times New Roman"/>
          <w:b/>
          <w:bCs/>
          <w:kern w:val="0"/>
          <w:szCs w:val="21"/>
          <w:lang w:eastAsia="pl-PL"/>
          <w14:ligatures w14:val="none"/>
        </w:rPr>
      </w:pPr>
      <w:r w:rsidRPr="00CE769F">
        <w:rPr>
          <w:rFonts w:ascii="Century Gothic" w:eastAsia="Times New Roman" w:hAnsi="Century Gothic" w:cs="Times New Roman"/>
          <w:b/>
          <w:bCs/>
          <w:kern w:val="0"/>
          <w:szCs w:val="21"/>
          <w:lang w:eastAsia="pl-PL"/>
          <w14:ligatures w14:val="none"/>
        </w:rPr>
        <w:t>Charakterystyka przedsięwzięcia</w:t>
      </w:r>
    </w:p>
    <w:p w14:paraId="43107015" w14:textId="77777777" w:rsidR="00EA7EF3" w:rsidRPr="00CE769F" w:rsidRDefault="00EA7EF3" w:rsidP="00EA7EF3">
      <w:pPr>
        <w:keepNext/>
        <w:spacing w:after="0" w:line="276" w:lineRule="auto"/>
        <w:jc w:val="center"/>
        <w:outlineLvl w:val="0"/>
        <w:rPr>
          <w:rFonts w:ascii="Century Gothic" w:eastAsia="Times New Roman" w:hAnsi="Century Gothic" w:cs="Times New Roman"/>
          <w:kern w:val="0"/>
          <w:sz w:val="21"/>
          <w:szCs w:val="21"/>
          <w:lang w:eastAsia="pl-PL"/>
          <w14:ligatures w14:val="none"/>
        </w:rPr>
      </w:pPr>
    </w:p>
    <w:p w14:paraId="68A8BFE0" w14:textId="77777777" w:rsidR="00EA7EF3" w:rsidRPr="00CE769F" w:rsidRDefault="00EA7EF3" w:rsidP="00EA7EF3">
      <w:pPr>
        <w:spacing w:after="0" w:line="276" w:lineRule="auto"/>
        <w:ind w:firstLine="708"/>
        <w:jc w:val="both"/>
        <w:rPr>
          <w:rFonts w:ascii="Century Gothic" w:eastAsia="Times New Roman" w:hAnsi="Century Gothic" w:cs="Times New Roman"/>
          <w:kern w:val="0"/>
          <w:sz w:val="21"/>
          <w:szCs w:val="21"/>
          <w14:ligatures w14:val="none"/>
        </w:rPr>
      </w:pPr>
      <w:bookmarkStart w:id="2" w:name="_Hlk198707129"/>
      <w:r w:rsidRPr="00CE769F">
        <w:rPr>
          <w:rFonts w:ascii="Century Gothic" w:eastAsia="Times New Roman" w:hAnsi="Century Gothic" w:cs="Calibri"/>
          <w:kern w:val="0"/>
          <w:sz w:val="21"/>
          <w:szCs w:val="21"/>
          <w:lang w:eastAsia="pl-PL"/>
          <w14:ligatures w14:val="none"/>
        </w:rPr>
        <w:t>Planowane przedsięwzięcie polegać będzie</w:t>
      </w:r>
      <w:r w:rsidRPr="00CE769F">
        <w:rPr>
          <w:rFonts w:ascii="Century Gothic" w:eastAsia="Times New Roman" w:hAnsi="Century Gothic" w:cs="Calibri"/>
          <w:kern w:val="0"/>
          <w:sz w:val="21"/>
          <w:szCs w:val="21"/>
          <w14:ligatures w14:val="none"/>
        </w:rPr>
        <w:t xml:space="preserve"> </w:t>
      </w:r>
      <w:r w:rsidRPr="00CE769F">
        <w:rPr>
          <w:rFonts w:ascii="Century Gothic" w:eastAsia="Times New Roman" w:hAnsi="Century Gothic" w:cs="Arial"/>
          <w:kern w:val="0"/>
          <w:sz w:val="21"/>
          <w:szCs w:val="21"/>
          <w14:ligatures w14:val="none"/>
        </w:rPr>
        <w:t>na</w:t>
      </w:r>
      <w:r w:rsidRPr="00CE769F">
        <w:rPr>
          <w:rFonts w:ascii="Century Gothic" w:hAnsi="Century Gothic"/>
          <w:sz w:val="21"/>
          <w:szCs w:val="21"/>
        </w:rPr>
        <w:t xml:space="preserve"> budowie zespołu budynków mieszkalnych jednorodzinnych wraz z towarzyszącą infrastrukturą techniczną w miejscowości Kalina, Gmina Gniezno, działki nr 16/1, 16/2, 16/3, 16/4, 16/5, 16/6, 16/7, 16/8, 16/9 i 16/10</w:t>
      </w:r>
      <w:r w:rsidRPr="00CE769F">
        <w:rPr>
          <w:rFonts w:ascii="Century Gothic" w:eastAsia="Times New Roman" w:hAnsi="Century Gothic" w:cs="Times New Roman"/>
          <w:kern w:val="0"/>
          <w:sz w:val="21"/>
          <w:szCs w:val="21"/>
          <w14:ligatures w14:val="none"/>
        </w:rPr>
        <w:t xml:space="preserve">. </w:t>
      </w:r>
    </w:p>
    <w:p w14:paraId="2CD5E3F2" w14:textId="77777777" w:rsidR="00EA7EF3" w:rsidRPr="00CE769F" w:rsidRDefault="00EA7EF3" w:rsidP="00EA7EF3">
      <w:pPr>
        <w:spacing w:after="0" w:line="276" w:lineRule="auto"/>
        <w:ind w:firstLine="708"/>
        <w:jc w:val="both"/>
        <w:rPr>
          <w:rFonts w:ascii="Century Gothic" w:hAnsi="Century Gothic"/>
          <w:kern w:val="0"/>
          <w:sz w:val="21"/>
          <w:szCs w:val="21"/>
          <w14:ligatures w14:val="none"/>
        </w:rPr>
      </w:pPr>
      <w:r w:rsidRPr="00CE769F">
        <w:rPr>
          <w:rFonts w:ascii="Century Gothic" w:eastAsia="Times New Roman" w:hAnsi="Century Gothic" w:cs="Calibri"/>
          <w:bCs/>
          <w:kern w:val="0"/>
          <w:sz w:val="21"/>
          <w:szCs w:val="21"/>
          <w14:ligatures w14:val="none"/>
        </w:rPr>
        <w:t xml:space="preserve">Powierzchnia ww. działek wynosi 3,48 ha i zostanie ona w całości przekształcona pod zabudowę mieszkaniową. </w:t>
      </w:r>
      <w:r w:rsidRPr="00CE769F">
        <w:rPr>
          <w:rFonts w:ascii="Century Gothic" w:hAnsi="Century Gothic"/>
          <w:kern w:val="0"/>
          <w:sz w:val="21"/>
          <w:szCs w:val="21"/>
          <w14:ligatures w14:val="none"/>
        </w:rPr>
        <w:t>Teren przedmiotowego przedsięwzięcia znajduje się na gruncie stanowiącym grunty rolne o klasie bonitacyjnej gleby RV. Obecnie teren planowanej inwestycji nie jest wykorzystywany rolniczo.</w:t>
      </w:r>
    </w:p>
    <w:p w14:paraId="24968026" w14:textId="77777777" w:rsidR="00EA7EF3" w:rsidRPr="00CE769F" w:rsidRDefault="00EA7EF3" w:rsidP="00EA7EF3">
      <w:pPr>
        <w:spacing w:after="0" w:line="276" w:lineRule="auto"/>
        <w:ind w:firstLine="708"/>
        <w:jc w:val="both"/>
        <w:rPr>
          <w:rFonts w:ascii="Century Gothic" w:hAnsi="Century Gothic"/>
          <w:kern w:val="0"/>
          <w:sz w:val="21"/>
          <w:szCs w:val="21"/>
          <w14:ligatures w14:val="none"/>
        </w:rPr>
      </w:pPr>
      <w:r w:rsidRPr="00CE769F">
        <w:rPr>
          <w:rFonts w:ascii="Century Gothic" w:hAnsi="Century Gothic"/>
          <w:kern w:val="0"/>
          <w:sz w:val="21"/>
          <w:szCs w:val="21"/>
          <w14:ligatures w14:val="none"/>
        </w:rPr>
        <w:t xml:space="preserve">Planowane jest posadowienie na przedmiotowych działkach do 32 budynków mieszkalnych </w:t>
      </w:r>
      <w:r>
        <w:rPr>
          <w:rFonts w:ascii="Century Gothic" w:hAnsi="Century Gothic"/>
          <w:kern w:val="0"/>
          <w:sz w:val="21"/>
          <w:szCs w:val="21"/>
          <w14:ligatures w14:val="none"/>
        </w:rPr>
        <w:t xml:space="preserve">jednorodzinnych </w:t>
      </w:r>
      <w:r w:rsidRPr="00CE769F">
        <w:rPr>
          <w:rFonts w:ascii="Century Gothic" w:hAnsi="Century Gothic"/>
          <w:kern w:val="0"/>
          <w:sz w:val="21"/>
          <w:szCs w:val="21"/>
          <w14:ligatures w14:val="none"/>
        </w:rPr>
        <w:t>o powierzchni do 150 m</w:t>
      </w:r>
      <w:r w:rsidRPr="00CE769F">
        <w:rPr>
          <w:rFonts w:ascii="Century Gothic" w:hAnsi="Century Gothic"/>
          <w:kern w:val="0"/>
          <w:sz w:val="21"/>
          <w:szCs w:val="21"/>
          <w:vertAlign w:val="superscript"/>
          <w14:ligatures w14:val="none"/>
        </w:rPr>
        <w:t>2</w:t>
      </w:r>
      <w:r w:rsidRPr="00CE769F">
        <w:rPr>
          <w:rFonts w:ascii="Century Gothic" w:hAnsi="Century Gothic"/>
          <w:kern w:val="0"/>
          <w:sz w:val="21"/>
          <w:szCs w:val="21"/>
          <w14:ligatures w14:val="none"/>
        </w:rPr>
        <w:t xml:space="preserve">, dwukondygnacyjnych wraz z garażami i miejscami parkingowymi. Budynki te zostaną wybudowane metodą tradycyjną – murowaną z elementami żelbetowymi, żelbetowa lub w konstrukcji szkieletowej.  Dopuszcza się realizację budynków mieszkaniowych dwulokalowych. Dojazd do budynków wybudowanych na działkach zapewniony zostanie drogą wewnętrzną, bezpośrednio do drogi gminnej. </w:t>
      </w:r>
    </w:p>
    <w:bookmarkEnd w:id="2"/>
    <w:p w14:paraId="3CBF055A" w14:textId="77777777" w:rsidR="00EA7EF3" w:rsidRPr="00CE769F" w:rsidRDefault="00EA7EF3" w:rsidP="00EA7EF3">
      <w:pPr>
        <w:autoSpaceDE w:val="0"/>
        <w:autoSpaceDN w:val="0"/>
        <w:adjustRightInd w:val="0"/>
        <w:spacing w:after="0" w:line="276" w:lineRule="auto"/>
        <w:ind w:firstLine="709"/>
        <w:jc w:val="both"/>
        <w:rPr>
          <w:rFonts w:ascii="Century Gothic" w:eastAsia="Times New Roman" w:hAnsi="Century Gothic" w:cs="Arial"/>
          <w:sz w:val="21"/>
          <w:szCs w:val="21"/>
          <w14:ligatures w14:val="none"/>
        </w:rPr>
      </w:pPr>
      <w:r w:rsidRPr="00CE769F">
        <w:rPr>
          <w:rFonts w:ascii="Century Gothic" w:hAnsi="Century Gothic"/>
          <w:sz w:val="21"/>
          <w:szCs w:val="21"/>
        </w:rPr>
        <w:t xml:space="preserve">Woda dla celów </w:t>
      </w:r>
      <w:proofErr w:type="spellStart"/>
      <w:r w:rsidRPr="00CE769F">
        <w:rPr>
          <w:rFonts w:ascii="Century Gothic" w:hAnsi="Century Gothic"/>
          <w:sz w:val="21"/>
          <w:szCs w:val="21"/>
        </w:rPr>
        <w:t>socjalno</w:t>
      </w:r>
      <w:proofErr w:type="spellEnd"/>
      <w:r w:rsidRPr="00CE769F">
        <w:rPr>
          <w:rFonts w:ascii="Century Gothic" w:hAnsi="Century Gothic"/>
          <w:sz w:val="21"/>
          <w:szCs w:val="21"/>
        </w:rPr>
        <w:t xml:space="preserve"> – bytowych pobierana będzie z sieci wodociągowej, a ścieki bytowe będą odprowadzane do szczelnych zbiorników bezodpływowych. Docelowo przewiduje się odprowadzenie ścieków do gminnej sieci kanalizacyjnej, po jej wybudowaniu. </w:t>
      </w:r>
    </w:p>
    <w:p w14:paraId="073D157B" w14:textId="77777777" w:rsidR="00EA7EF3" w:rsidRPr="00CE769F" w:rsidRDefault="00EA7EF3" w:rsidP="00EA7EF3">
      <w:pPr>
        <w:autoSpaceDE w:val="0"/>
        <w:autoSpaceDN w:val="0"/>
        <w:adjustRightInd w:val="0"/>
        <w:spacing w:after="0" w:line="276" w:lineRule="auto"/>
        <w:ind w:firstLine="708"/>
        <w:jc w:val="both"/>
        <w:rPr>
          <w:rFonts w:ascii="Century Gothic" w:eastAsia="Times New Roman" w:hAnsi="Century Gothic" w:cs="Arial"/>
          <w:bCs/>
          <w:sz w:val="21"/>
          <w:szCs w:val="21"/>
          <w14:ligatures w14:val="none"/>
        </w:rPr>
      </w:pPr>
      <w:r w:rsidRPr="00CE769F">
        <w:rPr>
          <w:rFonts w:ascii="Century Gothic" w:hAnsi="Century Gothic" w:cs="Calibri"/>
          <w:sz w:val="21"/>
          <w:szCs w:val="21"/>
        </w:rPr>
        <w:t>Gospodarowanie odpadami na etapie realizacji i eksploatacji przedmiotowego przedsięwzięcia będzie odbywać się na zasadach określonych w aktualnie obowiązujących przepisach szczegółowych.</w:t>
      </w:r>
    </w:p>
    <w:p w14:paraId="4D6DC39C" w14:textId="77777777" w:rsidR="00EA7EF3" w:rsidRPr="00CE769F" w:rsidRDefault="00EA7EF3" w:rsidP="00EA7EF3">
      <w:pPr>
        <w:autoSpaceDE w:val="0"/>
        <w:autoSpaceDN w:val="0"/>
        <w:adjustRightInd w:val="0"/>
        <w:spacing w:after="0" w:line="276" w:lineRule="auto"/>
        <w:ind w:firstLine="708"/>
        <w:jc w:val="both"/>
        <w:rPr>
          <w:rFonts w:ascii="Century Gothic" w:hAnsi="Century Gothic" w:cs="Helvetica"/>
          <w:kern w:val="0"/>
          <w:sz w:val="21"/>
          <w:szCs w:val="21"/>
        </w:rPr>
      </w:pPr>
      <w:r w:rsidRPr="00CE769F">
        <w:rPr>
          <w:rFonts w:ascii="Century Gothic" w:hAnsi="Century Gothic"/>
          <w:sz w:val="21"/>
          <w:szCs w:val="21"/>
        </w:rPr>
        <w:t xml:space="preserve">Przedsięwzięcie zostanie zlokalizowane poza obszarem Natura 2000 - specjalnym obszarze ochrony siedlisk Pojezierze Gnieźnieńskie PLH300026. Podczas realizacji przedsięwzięcia nie przewiduje się wycinki drzew i krzewów. </w:t>
      </w:r>
    </w:p>
    <w:p w14:paraId="400A6E70" w14:textId="77777777" w:rsidR="00EE1F09" w:rsidRDefault="00EE1F09"/>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5406D"/>
    <w:multiLevelType w:val="hybridMultilevel"/>
    <w:tmpl w:val="C70CAA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4DAA4235"/>
    <w:multiLevelType w:val="hybridMultilevel"/>
    <w:tmpl w:val="64660380"/>
    <w:lvl w:ilvl="0" w:tplc="C6B484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8132B05"/>
    <w:multiLevelType w:val="hybridMultilevel"/>
    <w:tmpl w:val="CE004A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0903181"/>
    <w:multiLevelType w:val="hybridMultilevel"/>
    <w:tmpl w:val="F9E44182"/>
    <w:lvl w:ilvl="0" w:tplc="6B8EBC96">
      <w:start w:val="1"/>
      <w:numFmt w:val="upperRoman"/>
      <w:lvlText w:val="%1."/>
      <w:lvlJc w:val="right"/>
      <w:pPr>
        <w:ind w:left="0" w:firstLine="0"/>
      </w:pPr>
      <w:rPr>
        <w:b/>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835922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5890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5013652">
    <w:abstractNumId w:val="0"/>
  </w:num>
  <w:num w:numId="4" w16cid:durableId="16563775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4490939">
    <w:abstractNumId w:val="2"/>
  </w:num>
  <w:num w:numId="6" w16cid:durableId="1266040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15070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32903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F3"/>
    <w:rsid w:val="00CE7316"/>
    <w:rsid w:val="00EA7EF3"/>
    <w:rsid w:val="00EE1F09"/>
    <w:rsid w:val="00F70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4B56"/>
  <w15:chartTrackingRefBased/>
  <w15:docId w15:val="{2A94E7BC-76E2-4B09-BD81-6E5D1CC1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7EF3"/>
  </w:style>
  <w:style w:type="paragraph" w:styleId="Nagwek1">
    <w:name w:val="heading 1"/>
    <w:basedOn w:val="Normalny"/>
    <w:next w:val="Normalny"/>
    <w:link w:val="Nagwek1Znak"/>
    <w:uiPriority w:val="9"/>
    <w:qFormat/>
    <w:rsid w:val="00EA7E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A7E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A7EF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A7EF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A7EF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A7E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A7E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A7E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A7E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A7EF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A7EF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A7EF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A7EF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A7EF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A7E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A7E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A7E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A7EF3"/>
    <w:rPr>
      <w:rFonts w:eastAsiaTheme="majorEastAsia" w:cstheme="majorBidi"/>
      <w:color w:val="272727" w:themeColor="text1" w:themeTint="D8"/>
    </w:rPr>
  </w:style>
  <w:style w:type="paragraph" w:styleId="Tytu">
    <w:name w:val="Title"/>
    <w:basedOn w:val="Normalny"/>
    <w:next w:val="Normalny"/>
    <w:link w:val="TytuZnak"/>
    <w:uiPriority w:val="10"/>
    <w:qFormat/>
    <w:rsid w:val="00EA7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A7E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A7E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A7E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A7EF3"/>
    <w:pPr>
      <w:spacing w:before="160"/>
      <w:jc w:val="center"/>
    </w:pPr>
    <w:rPr>
      <w:i/>
      <w:iCs/>
      <w:color w:val="404040" w:themeColor="text1" w:themeTint="BF"/>
    </w:rPr>
  </w:style>
  <w:style w:type="character" w:customStyle="1" w:styleId="CytatZnak">
    <w:name w:val="Cytat Znak"/>
    <w:basedOn w:val="Domylnaczcionkaakapitu"/>
    <w:link w:val="Cytat"/>
    <w:uiPriority w:val="29"/>
    <w:rsid w:val="00EA7EF3"/>
    <w:rPr>
      <w:i/>
      <w:iCs/>
      <w:color w:val="404040" w:themeColor="text1" w:themeTint="BF"/>
    </w:rPr>
  </w:style>
  <w:style w:type="paragraph" w:styleId="Akapitzlist">
    <w:name w:val="List Paragraph"/>
    <w:basedOn w:val="Normalny"/>
    <w:uiPriority w:val="34"/>
    <w:qFormat/>
    <w:rsid w:val="00EA7EF3"/>
    <w:pPr>
      <w:ind w:left="720"/>
      <w:contextualSpacing/>
    </w:pPr>
  </w:style>
  <w:style w:type="character" w:styleId="Wyrnienieintensywne">
    <w:name w:val="Intense Emphasis"/>
    <w:basedOn w:val="Domylnaczcionkaakapitu"/>
    <w:uiPriority w:val="21"/>
    <w:qFormat/>
    <w:rsid w:val="00EA7EF3"/>
    <w:rPr>
      <w:i/>
      <w:iCs/>
      <w:color w:val="2F5496" w:themeColor="accent1" w:themeShade="BF"/>
    </w:rPr>
  </w:style>
  <w:style w:type="paragraph" w:styleId="Cytatintensywny">
    <w:name w:val="Intense Quote"/>
    <w:basedOn w:val="Normalny"/>
    <w:next w:val="Normalny"/>
    <w:link w:val="CytatintensywnyZnak"/>
    <w:uiPriority w:val="30"/>
    <w:qFormat/>
    <w:rsid w:val="00EA7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A7EF3"/>
    <w:rPr>
      <w:i/>
      <w:iCs/>
      <w:color w:val="2F5496" w:themeColor="accent1" w:themeShade="BF"/>
    </w:rPr>
  </w:style>
  <w:style w:type="character" w:styleId="Odwoanieintensywne">
    <w:name w:val="Intense Reference"/>
    <w:basedOn w:val="Domylnaczcionkaakapitu"/>
    <w:uiPriority w:val="32"/>
    <w:qFormat/>
    <w:rsid w:val="00EA7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3984</Words>
  <Characters>23908</Characters>
  <Application>Microsoft Office Word</Application>
  <DocSecurity>0</DocSecurity>
  <Lines>199</Lines>
  <Paragraphs>55</Paragraphs>
  <ScaleCrop>false</ScaleCrop>
  <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1</cp:revision>
  <dcterms:created xsi:type="dcterms:W3CDTF">2025-06-10T09:28:00Z</dcterms:created>
  <dcterms:modified xsi:type="dcterms:W3CDTF">2025-06-10T09:29:00Z</dcterms:modified>
</cp:coreProperties>
</file>