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AE35" w14:textId="77777777" w:rsidR="00A02858" w:rsidRPr="00A02858" w:rsidRDefault="00A02858" w:rsidP="00A02858">
      <w:pPr>
        <w:spacing w:after="0" w:line="240" w:lineRule="auto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213F090A" w14:textId="77777777" w:rsidR="00A02858" w:rsidRPr="00A02858" w:rsidRDefault="00A02858" w:rsidP="00A02858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           Gniezno, dnia 19 lutego 2025 r.</w:t>
      </w:r>
    </w:p>
    <w:p w14:paraId="0A4A79B0" w14:textId="77777777" w:rsidR="00A02858" w:rsidRPr="00A02858" w:rsidRDefault="00A02858" w:rsidP="00A02858">
      <w:pPr>
        <w:spacing w:after="0" w:line="240" w:lineRule="auto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OŚR.6220.7.2024</w:t>
      </w:r>
    </w:p>
    <w:p w14:paraId="662AF920" w14:textId="77777777" w:rsidR="00A02858" w:rsidRPr="00A02858" w:rsidRDefault="00A02858" w:rsidP="00A02858">
      <w:pPr>
        <w:tabs>
          <w:tab w:val="left" w:pos="42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sz w:val="21"/>
          <w:szCs w:val="21"/>
          <w:u w:val="single"/>
          <w:lang w:eastAsia="pl-PL"/>
          <w14:ligatures w14:val="none"/>
        </w:rPr>
      </w:pPr>
    </w:p>
    <w:p w14:paraId="19A43691" w14:textId="77777777" w:rsidR="00A02858" w:rsidRPr="00A02858" w:rsidRDefault="00A02858" w:rsidP="00A02858">
      <w:pPr>
        <w:tabs>
          <w:tab w:val="left" w:pos="42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u w:val="single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kern w:val="0"/>
          <w:u w:val="single"/>
          <w:lang w:eastAsia="pl-PL"/>
          <w14:ligatures w14:val="none"/>
        </w:rPr>
        <w:t>OBWIESZCZENIE</w:t>
      </w:r>
    </w:p>
    <w:p w14:paraId="4BCE0868" w14:textId="77777777" w:rsidR="00A02858" w:rsidRPr="00A02858" w:rsidRDefault="00A02858" w:rsidP="00A02858">
      <w:pPr>
        <w:spacing w:after="0" w:line="22" w:lineRule="atLeast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3A254C4F" w14:textId="77777777" w:rsidR="00A02858" w:rsidRPr="00A02858" w:rsidRDefault="00A02858" w:rsidP="00A02858">
      <w:pPr>
        <w:spacing w:after="0" w:line="276" w:lineRule="auto"/>
        <w:ind w:firstLine="709"/>
        <w:jc w:val="both"/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Na podstawie art. 49 ustawy z dnia 14 czerwca 1960 r. </w:t>
      </w:r>
      <w:r w:rsidRPr="00A02858">
        <w:rPr>
          <w:rFonts w:ascii="Century Gothic" w:eastAsia="Times New Roman" w:hAnsi="Century Gothic" w:cs="Times New Roman"/>
          <w:i/>
          <w:kern w:val="0"/>
          <w:sz w:val="21"/>
          <w:szCs w:val="21"/>
          <w:lang w:eastAsia="pl-PL"/>
          <w14:ligatures w14:val="none"/>
        </w:rPr>
        <w:t xml:space="preserve">kodeks postępowania administracyjnego </w:t>
      </w:r>
      <w:r w:rsidRPr="00A02858">
        <w:rPr>
          <w:rFonts w:ascii="Century Gothic" w:eastAsia="Times New Roman" w:hAnsi="Century Gothic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/Dz. U. 2024 r., poz. 572/, w związku z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art. 74 ust. 3 ustawy z dnia 3 października 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2008 r. </w:t>
      </w:r>
      <w:r w:rsidRPr="00A02858">
        <w:rPr>
          <w:rFonts w:ascii="Century Gothic" w:eastAsia="Times New Roman" w:hAnsi="Century Gothic" w:cs="Times New Roman"/>
          <w:bCs/>
          <w:i/>
          <w:kern w:val="0"/>
          <w:sz w:val="21"/>
          <w:szCs w:val="21"/>
          <w:lang w:eastAsia="pl-PL"/>
          <w14:ligatures w14:val="none"/>
        </w:rPr>
        <w:t>o udostępnianiu informacji o środowisku i jego ochronie, udziale społeczeństwa w ochronie środowiska oraz o ocenach oddziaływania na środowisko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/Dz. U. z 2024 r., poz. 1112/ </w:t>
      </w:r>
      <w:r w:rsidRPr="00A02858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t xml:space="preserve">Wójt Gminy Gniezno </w:t>
      </w:r>
      <w:r w:rsidRPr="00A02858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zawiadamia 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>strony postępowania administracyjnego o wydanym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dnia 19 lutego 2025 r. Postanowieniu w sprawie </w:t>
      </w:r>
      <w:r w:rsidRPr="00A02858">
        <w:rPr>
          <w:rFonts w:ascii="Century Gothic" w:eastAsia="Times New Roman" w:hAnsi="Century Gothic" w:cs="Arial"/>
          <w:kern w:val="0"/>
          <w:sz w:val="21"/>
          <w:szCs w:val="21"/>
          <w:lang w:eastAsia="pl-PL"/>
          <w14:ligatures w14:val="none"/>
        </w:rPr>
        <w:t>obowiązku przeprowadzenia oceny oddziaływania na środowisko dla planowanego przedsięwzięcia polegającego na</w:t>
      </w:r>
      <w:r w:rsidRPr="00A02858">
        <w:rPr>
          <w:rFonts w:ascii="Century Gothic" w:eastAsia="Times New Roman" w:hAnsi="Century Gothic" w:cs="Times New Roman"/>
          <w:b/>
          <w:bCs/>
          <w:i/>
          <w:kern w:val="0"/>
          <w:sz w:val="21"/>
          <w:szCs w:val="21"/>
          <w:lang w:eastAsia="pl-PL"/>
          <w14:ligatures w14:val="none"/>
        </w:rPr>
        <w:t xml:space="preserve"> </w:t>
      </w:r>
      <w:bookmarkStart w:id="0" w:name="_Hlk186458591"/>
      <w:r w:rsidRPr="00A02858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>budowie Centrum Dystrybucyjnego wraz z niezbędną infrastrukturą towarzyszącą i komunikacyjną w miejscowości Lulkowo, Gmina Gniezno, działka nr 283</w:t>
      </w:r>
      <w:bookmarkEnd w:id="0"/>
      <w:r w:rsidRPr="00A02858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t xml:space="preserve">, 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>którego treść podaje poniżej.</w:t>
      </w:r>
      <w:r w:rsidRPr="00A02858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 </w:t>
      </w:r>
    </w:p>
    <w:p w14:paraId="43ED33F6" w14:textId="77777777" w:rsidR="00A02858" w:rsidRPr="00A02858" w:rsidRDefault="00A02858" w:rsidP="00A02858">
      <w:pPr>
        <w:spacing w:after="120" w:line="240" w:lineRule="auto"/>
        <w:ind w:left="283"/>
        <w:jc w:val="both"/>
        <w:rPr>
          <w:rFonts w:ascii="Century Gothic" w:eastAsia="Times New Roman" w:hAnsi="Century Gothic" w:cs="Times New Roman"/>
          <w:kern w:val="0"/>
          <w:sz w:val="16"/>
          <w:szCs w:val="16"/>
          <w:u w:val="single"/>
          <w:lang w:eastAsia="pl-PL"/>
          <w14:ligatures w14:val="none"/>
        </w:rPr>
      </w:pPr>
    </w:p>
    <w:p w14:paraId="7DEF4638" w14:textId="77777777" w:rsidR="00A02858" w:rsidRPr="00A02858" w:rsidRDefault="00A02858" w:rsidP="00A02858">
      <w:pPr>
        <w:spacing w:after="120" w:line="240" w:lineRule="auto"/>
        <w:ind w:left="283"/>
        <w:jc w:val="both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p w14:paraId="5F65DB16" w14:textId="77777777" w:rsidR="00A02858" w:rsidRPr="00A02858" w:rsidRDefault="00A02858" w:rsidP="00A02858">
      <w:pPr>
        <w:spacing w:after="120" w:line="240" w:lineRule="auto"/>
        <w:ind w:left="283"/>
        <w:jc w:val="both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A02858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:</w:t>
      </w:r>
    </w:p>
    <w:p w14:paraId="6192C7DC" w14:textId="77777777" w:rsidR="00A02858" w:rsidRPr="00A02858" w:rsidRDefault="00A02858" w:rsidP="00A02858">
      <w:pPr>
        <w:spacing w:after="120" w:line="240" w:lineRule="auto"/>
        <w:ind w:hanging="284"/>
        <w:jc w:val="both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ab/>
      </w:r>
      <w:r w:rsidRPr="00A02858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wydanym Postanowieniu w toczącym się postępowaniu zostaje podane w formie obwieszczenia. Doręczenie uważa się za dokonane po upływie czternastu dni od dnia publicznego ogłoszenia. Publiczne udostępnienie następuje z dniem </w:t>
      </w:r>
      <w:r w:rsidRPr="00A02858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20 lutego 2025 roku.</w:t>
      </w:r>
    </w:p>
    <w:p w14:paraId="570A4033" w14:textId="77777777" w:rsidR="00A02858" w:rsidRPr="00A02858" w:rsidRDefault="00A02858" w:rsidP="00A02858">
      <w:pPr>
        <w:tabs>
          <w:tab w:val="left" w:pos="426"/>
        </w:tabs>
        <w:spacing w:after="0" w:line="22" w:lineRule="atLeast"/>
        <w:jc w:val="both"/>
        <w:rPr>
          <w:rFonts w:ascii="Century Gothic" w:eastAsia="Times New Roman" w:hAnsi="Century Gothic" w:cs="Times New Roman"/>
          <w:b/>
          <w:i/>
          <w:iCs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ab/>
      </w:r>
    </w:p>
    <w:p w14:paraId="3F4DD957" w14:textId="77777777" w:rsidR="00A02858" w:rsidRPr="00A02858" w:rsidRDefault="00A02858" w:rsidP="00A02858">
      <w:pPr>
        <w:spacing w:after="0" w:line="22" w:lineRule="atLeast"/>
        <w:jc w:val="both"/>
        <w:rPr>
          <w:rFonts w:ascii="Century Gothic" w:eastAsia="Calibri" w:hAnsi="Century Gothic" w:cs="Times New Roman"/>
          <w:b/>
          <w:i/>
          <w:iCs/>
          <w:kern w:val="0"/>
          <w:sz w:val="21"/>
          <w:szCs w:val="21"/>
          <w:lang w:eastAsia="pl-PL"/>
          <w14:ligatures w14:val="none"/>
        </w:rPr>
      </w:pPr>
    </w:p>
    <w:p w14:paraId="2897BF44" w14:textId="77777777" w:rsidR="00A02858" w:rsidRPr="00A02858" w:rsidRDefault="00A02858" w:rsidP="00A02858">
      <w:pPr>
        <w:spacing w:after="0" w:line="22" w:lineRule="atLeast"/>
        <w:jc w:val="both"/>
        <w:rPr>
          <w:rFonts w:ascii="Century Gothic" w:eastAsia="Calibri" w:hAnsi="Century Gothic" w:cs="Times New Roman"/>
          <w:b/>
          <w:i/>
          <w:iCs/>
          <w:kern w:val="0"/>
          <w:sz w:val="21"/>
          <w:szCs w:val="21"/>
          <w:lang w:eastAsia="pl-PL"/>
          <w14:ligatures w14:val="none"/>
        </w:rPr>
      </w:pPr>
    </w:p>
    <w:p w14:paraId="60915351" w14:textId="77777777" w:rsidR="00A02858" w:rsidRPr="00A02858" w:rsidRDefault="00A02858" w:rsidP="00A02858">
      <w:pPr>
        <w:spacing w:after="0" w:line="22" w:lineRule="atLeast"/>
        <w:jc w:val="both"/>
        <w:rPr>
          <w:rFonts w:ascii="Century Gothic" w:eastAsia="Calibri" w:hAnsi="Century Gothic" w:cs="Times New Roman"/>
          <w:b/>
          <w:i/>
          <w:iCs/>
          <w:kern w:val="0"/>
          <w:sz w:val="21"/>
          <w:szCs w:val="21"/>
          <w:lang w:eastAsia="pl-PL"/>
          <w14:ligatures w14:val="none"/>
        </w:rPr>
      </w:pPr>
    </w:p>
    <w:p w14:paraId="42362C6F" w14:textId="77777777" w:rsidR="00A02858" w:rsidRPr="00A02858" w:rsidRDefault="00A02858" w:rsidP="00A02858">
      <w:pPr>
        <w:spacing w:after="0" w:line="22" w:lineRule="atLeast"/>
        <w:jc w:val="both"/>
        <w:rPr>
          <w:rFonts w:ascii="Century Gothic" w:eastAsia="Calibri" w:hAnsi="Century Gothic" w:cs="Times New Roman"/>
          <w:b/>
          <w:i/>
          <w:iCs/>
          <w:kern w:val="0"/>
          <w:sz w:val="21"/>
          <w:szCs w:val="21"/>
          <w:lang w:eastAsia="pl-PL"/>
          <w14:ligatures w14:val="none"/>
        </w:rPr>
      </w:pPr>
    </w:p>
    <w:p w14:paraId="33536848" w14:textId="77777777" w:rsidR="00A02858" w:rsidRPr="00A02858" w:rsidRDefault="00A02858" w:rsidP="00A02858">
      <w:pPr>
        <w:spacing w:after="0" w:line="22" w:lineRule="atLeast"/>
        <w:jc w:val="both"/>
        <w:rPr>
          <w:rFonts w:ascii="Century Gothic" w:eastAsia="Calibri" w:hAnsi="Century Gothic" w:cs="Times New Roman"/>
          <w:b/>
          <w:i/>
          <w:iCs/>
          <w:kern w:val="0"/>
          <w:sz w:val="21"/>
          <w:szCs w:val="21"/>
          <w:lang w:eastAsia="pl-PL"/>
          <w14:ligatures w14:val="none"/>
        </w:rPr>
      </w:pPr>
    </w:p>
    <w:p w14:paraId="21D45059" w14:textId="77777777" w:rsidR="00A02858" w:rsidRPr="00A02858" w:rsidRDefault="00A02858" w:rsidP="00A02858">
      <w:pPr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           Gniezno, dnia 19 lutego 2025 r.</w:t>
      </w:r>
    </w:p>
    <w:p w14:paraId="691B3707" w14:textId="77777777" w:rsidR="00A02858" w:rsidRPr="00A02858" w:rsidRDefault="00A02858" w:rsidP="00A02858">
      <w:pPr>
        <w:spacing w:after="0" w:line="240" w:lineRule="auto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OŚR. 6220.7.2024</w:t>
      </w:r>
    </w:p>
    <w:p w14:paraId="541AF96F" w14:textId="77777777" w:rsidR="00A02858" w:rsidRPr="00A02858" w:rsidRDefault="00A02858" w:rsidP="00A02858">
      <w:pPr>
        <w:spacing w:after="0" w:line="22" w:lineRule="atLeast"/>
        <w:jc w:val="both"/>
        <w:rPr>
          <w:rFonts w:ascii="Century Gothic" w:eastAsia="Calibri" w:hAnsi="Century Gothic" w:cs="Times New Roman"/>
          <w:b/>
          <w:i/>
          <w:iCs/>
          <w:kern w:val="0"/>
          <w:sz w:val="21"/>
          <w:szCs w:val="21"/>
          <w:lang w:eastAsia="pl-PL"/>
          <w14:ligatures w14:val="none"/>
        </w:rPr>
      </w:pPr>
    </w:p>
    <w:p w14:paraId="29DFF4C3" w14:textId="77777777" w:rsidR="00A02858" w:rsidRPr="00A02858" w:rsidRDefault="00A02858" w:rsidP="00A0285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POSTANOWIENIE</w:t>
      </w:r>
    </w:p>
    <w:p w14:paraId="0FBDA3BA" w14:textId="77777777" w:rsidR="00A02858" w:rsidRPr="00A02858" w:rsidRDefault="00A02858" w:rsidP="00A02858">
      <w:pPr>
        <w:spacing w:before="30" w:after="0" w:line="257" w:lineRule="auto"/>
        <w:ind w:right="1"/>
        <w:jc w:val="center"/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w</w:t>
      </w:r>
      <w:r w:rsidRPr="00A02858">
        <w:rPr>
          <w:rFonts w:ascii="Century Gothic" w:eastAsia="Times New Roman" w:hAnsi="Century Gothic" w:cs="Times New Roman"/>
          <w:spacing w:val="7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sprawie</w:t>
      </w:r>
      <w:r w:rsidRPr="00A02858">
        <w:rPr>
          <w:rFonts w:ascii="Century Gothic" w:eastAsia="Times New Roman" w:hAnsi="Century Gothic" w:cs="Times New Roman"/>
          <w:spacing w:val="37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potrzeby</w:t>
      </w:r>
      <w:r w:rsidRPr="00A02858">
        <w:rPr>
          <w:rFonts w:ascii="Century Gothic" w:eastAsia="Times New Roman" w:hAnsi="Century Gothic" w:cs="Times New Roman"/>
          <w:spacing w:val="50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6"/>
          <w:kern w:val="0"/>
          <w:sz w:val="21"/>
          <w:szCs w:val="21"/>
          <w:u w:val="single"/>
          <w:lang w:eastAsia="pl-PL"/>
          <w14:ligatures w14:val="none"/>
        </w:rPr>
        <w:t>przeprowadzania</w:t>
      </w:r>
      <w:r w:rsidRPr="00A02858">
        <w:rPr>
          <w:rFonts w:ascii="Century Gothic" w:eastAsia="Times New Roman" w:hAnsi="Century Gothic" w:cs="Times New Roman"/>
          <w:spacing w:val="-3"/>
          <w:w w:val="106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oceny</w:t>
      </w:r>
      <w:r w:rsidRPr="00A02858">
        <w:rPr>
          <w:rFonts w:ascii="Century Gothic" w:eastAsia="Times New Roman" w:hAnsi="Century Gothic" w:cs="Times New Roman"/>
          <w:spacing w:val="33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 xml:space="preserve">oddziaływania </w:t>
      </w:r>
      <w:r w:rsidRPr="00A02858">
        <w:rPr>
          <w:rFonts w:ascii="Century Gothic" w:eastAsia="Times New Roman" w:hAnsi="Century Gothic" w:cs="Times New Roman"/>
          <w:spacing w:val="17"/>
          <w:kern w:val="0"/>
          <w:sz w:val="21"/>
          <w:szCs w:val="21"/>
          <w:u w:val="single"/>
          <w:lang w:eastAsia="pl-PL"/>
          <w14:ligatures w14:val="none"/>
        </w:rPr>
        <w:t>na</w:t>
      </w:r>
      <w:r w:rsidRPr="00A02858">
        <w:rPr>
          <w:rFonts w:ascii="Century Gothic" w:eastAsia="Times New Roman" w:hAnsi="Century Gothic" w:cs="Times New Roman"/>
          <w:spacing w:val="12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środowisko i</w:t>
      </w:r>
      <w:r w:rsidRPr="00A02858">
        <w:rPr>
          <w:rFonts w:ascii="Century Gothic" w:eastAsia="Times New Roman" w:hAnsi="Century Gothic" w:cs="Times New Roman"/>
          <w:spacing w:val="9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ustalenia</w:t>
      </w:r>
      <w:r w:rsidRPr="00A02858">
        <w:rPr>
          <w:rFonts w:ascii="Century Gothic" w:eastAsia="Times New Roman" w:hAnsi="Century Gothic" w:cs="Times New Roman"/>
          <w:spacing w:val="53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4"/>
          <w:kern w:val="0"/>
          <w:sz w:val="21"/>
          <w:szCs w:val="21"/>
          <w:u w:val="single"/>
          <w:lang w:eastAsia="pl-PL"/>
          <w14:ligatures w14:val="none"/>
        </w:rPr>
        <w:t xml:space="preserve">zakresu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raportu</w:t>
      </w:r>
      <w:r w:rsidRPr="00A02858">
        <w:rPr>
          <w:rFonts w:ascii="Century Gothic" w:eastAsia="Times New Roman" w:hAnsi="Century Gothic" w:cs="Times New Roman"/>
          <w:spacing w:val="35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o</w:t>
      </w:r>
      <w:r w:rsidRPr="00A02858">
        <w:rPr>
          <w:rFonts w:ascii="Century Gothic" w:eastAsia="Times New Roman" w:hAnsi="Century Gothic" w:cs="Times New Roman"/>
          <w:spacing w:val="15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 xml:space="preserve">oddziaływaniu </w:t>
      </w:r>
      <w:r w:rsidRPr="00A02858">
        <w:rPr>
          <w:rFonts w:ascii="Century Gothic" w:eastAsia="Times New Roman" w:hAnsi="Century Gothic" w:cs="Times New Roman"/>
          <w:w w:val="105"/>
          <w:kern w:val="0"/>
          <w:sz w:val="21"/>
          <w:szCs w:val="21"/>
          <w:u w:val="single"/>
          <w:lang w:eastAsia="pl-PL"/>
          <w14:ligatures w14:val="none"/>
        </w:rPr>
        <w:t>przedsięwzięcia</w:t>
      </w:r>
      <w:r w:rsidRPr="00A02858">
        <w:rPr>
          <w:rFonts w:ascii="Century Gothic" w:eastAsia="Times New Roman" w:hAnsi="Century Gothic" w:cs="Times New Roman"/>
          <w:spacing w:val="4"/>
          <w:w w:val="105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na</w:t>
      </w:r>
      <w:r w:rsidRPr="00A02858">
        <w:rPr>
          <w:rFonts w:ascii="Century Gothic" w:eastAsia="Times New Roman" w:hAnsi="Century Gothic" w:cs="Times New Roman"/>
          <w:spacing w:val="12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6"/>
          <w:kern w:val="0"/>
          <w:sz w:val="21"/>
          <w:szCs w:val="21"/>
          <w:u w:val="single"/>
          <w:lang w:eastAsia="pl-PL"/>
          <w14:ligatures w14:val="none"/>
        </w:rPr>
        <w:t>środowisko</w:t>
      </w:r>
    </w:p>
    <w:p w14:paraId="793EC399" w14:textId="77777777" w:rsidR="00A02858" w:rsidRPr="00A02858" w:rsidRDefault="00A02858" w:rsidP="00A02858">
      <w:pPr>
        <w:spacing w:after="0" w:line="240" w:lineRule="auto"/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</w:pPr>
    </w:p>
    <w:p w14:paraId="77E2CB26" w14:textId="77777777" w:rsidR="00A02858" w:rsidRPr="00A02858" w:rsidRDefault="00A02858" w:rsidP="00A02858">
      <w:pPr>
        <w:spacing w:after="0" w:line="240" w:lineRule="auto"/>
        <w:rPr>
          <w:rFonts w:ascii="Century Gothic" w:eastAsia="Times New Roman" w:hAnsi="Century Gothic" w:cs="Times New Roman"/>
          <w:b/>
          <w:color w:val="FF0000"/>
          <w:kern w:val="0"/>
          <w:sz w:val="21"/>
          <w:szCs w:val="21"/>
          <w:lang w:eastAsia="pl-PL"/>
          <w14:ligatures w14:val="none"/>
        </w:rPr>
      </w:pPr>
    </w:p>
    <w:p w14:paraId="529879B3" w14:textId="77777777" w:rsidR="00A02858" w:rsidRPr="00A02858" w:rsidRDefault="00A02858" w:rsidP="00A02858">
      <w:pPr>
        <w:spacing w:after="0" w:line="276" w:lineRule="auto"/>
        <w:ind w:left="112" w:right="39" w:firstLine="597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Na podstawie art. 123 ustawy z dnia 14 czerwca 1960 r. </w:t>
      </w:r>
      <w:r w:rsidRPr="00A02858">
        <w:rPr>
          <w:rFonts w:ascii="Century Gothic" w:eastAsia="Times New Roman" w:hAnsi="Century Gothic" w:cs="Times New Roman"/>
          <w:i/>
          <w:kern w:val="0"/>
          <w:sz w:val="21"/>
          <w:szCs w:val="21"/>
          <w:lang w:eastAsia="pl-PL"/>
          <w14:ligatures w14:val="none"/>
        </w:rPr>
        <w:t xml:space="preserve">kodeks postępowania administracyjnego </w:t>
      </w:r>
      <w:r w:rsidRPr="00A02858">
        <w:rPr>
          <w:rFonts w:ascii="Century Gothic" w:eastAsia="Times New Roman" w:hAnsi="Century Gothic" w:cs="Times New Roman"/>
          <w:color w:val="000000"/>
          <w:kern w:val="0"/>
          <w:sz w:val="21"/>
          <w:szCs w:val="21"/>
          <w:lang w:eastAsia="pl-PL"/>
          <w14:ligatures w14:val="none"/>
        </w:rPr>
        <w:t>/Dz. U. 2024 r., poz. 572/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, w związku z art. 63 ust. 1 i 4, art. 65 ust. 2 i 3, art. 66 ustawy z dnia 3 października 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2008 r. </w:t>
      </w:r>
      <w:r w:rsidRPr="00A02858">
        <w:rPr>
          <w:rFonts w:ascii="Century Gothic" w:eastAsia="Times New Roman" w:hAnsi="Century Gothic" w:cs="Times New Roman"/>
          <w:bCs/>
          <w:i/>
          <w:kern w:val="0"/>
          <w:sz w:val="21"/>
          <w:szCs w:val="21"/>
          <w:lang w:eastAsia="pl-PL"/>
          <w14:ligatures w14:val="none"/>
        </w:rPr>
        <w:t>o udostępnianiu informacji o środowisku i jego ochronie, udziale społeczeństwa w ochronie środowiska oraz o ocenach oddziaływania na środowisko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/Dz. U. z 2024 r., poz. 1112/, </w:t>
      </w:r>
      <w:r w:rsidRPr="00A02858">
        <w:rPr>
          <w:rFonts w:ascii="Century Gothic" w:eastAsia="Times New Roman" w:hAnsi="Century Gothic" w:cs="Arial"/>
          <w:kern w:val="0"/>
          <w:sz w:val="21"/>
          <w:szCs w:val="21"/>
          <w:lang w:eastAsia="pl-PL"/>
          <w14:ligatures w14:val="none"/>
        </w:rPr>
        <w:t xml:space="preserve">a także na podstawie 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>§ 3 ust. 1 pkt 31;  § 3 ust. 1 pkt 37 b) i d); § 3 ust. 1 pkt 54 b);  § 3 ust. 1 pkt 58 b);  § 3 ust. 1 pkt 62;  § 3 ust. 1 pkt 83 b) Rozporządzenia Rady Ministrów z dnia 10 września 2019 r. w sprawie przedsięwzięć mogących znacząco oddziaływać na środowisko /Dz. U. z 2019 r. poz. 1839/</w:t>
      </w:r>
      <w:r w:rsidRPr="00A02858">
        <w:rPr>
          <w:rFonts w:ascii="Century Gothic" w:eastAsia="Times New Roman" w:hAnsi="Century Gothic" w:cs="Arial"/>
          <w:kern w:val="0"/>
          <w:sz w:val="21"/>
          <w:szCs w:val="21"/>
          <w:lang w:eastAsia="pl-PL"/>
          <w14:ligatures w14:val="none"/>
        </w:rPr>
        <w:t>, po rozpoznaniu wniosku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>Inwestora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t xml:space="preserve">Centrum Wynajmu Nieruchomości 4 S.A. ul. Ostrowska 122, 63-700 Krotoszyn reprezentowanego przez Pełnomocnika Pana Ksawerego </w:t>
      </w:r>
      <w:proofErr w:type="spellStart"/>
      <w:r w:rsidRPr="00A02858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t>Miksiewicz</w:t>
      </w:r>
      <w:proofErr w:type="spellEnd"/>
      <w:r w:rsidRPr="00A02858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t xml:space="preserve"> z firmy MESA PROJEKT Sp. z o. o. ul. Marcina 11, 40-854 Katowice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kierując</w:t>
      </w:r>
      <w:r w:rsidRPr="00A02858">
        <w:rPr>
          <w:rFonts w:ascii="Century Gothic" w:eastAsia="Times New Roman" w:hAnsi="Century Gothic" w:cs="Times New Roman"/>
          <w:spacing w:val="4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się</w:t>
      </w:r>
      <w:r w:rsidRPr="00A02858">
        <w:rPr>
          <w:rFonts w:ascii="Century Gothic" w:eastAsia="Times New Roman" w:hAnsi="Century Gothic" w:cs="Times New Roman"/>
          <w:spacing w:val="2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kryteriam</w:t>
      </w:r>
      <w:r w:rsidRPr="00A02858">
        <w:rPr>
          <w:rFonts w:ascii="Century Gothic" w:eastAsia="Times New Roman" w:hAnsi="Century Gothic" w:cs="Times New Roman"/>
          <w:spacing w:val="8"/>
          <w:kern w:val="0"/>
          <w:sz w:val="21"/>
          <w:szCs w:val="21"/>
          <w:lang w:eastAsia="pl-PL"/>
          <w14:ligatures w14:val="none"/>
        </w:rPr>
        <w:t>i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,</w:t>
      </w:r>
      <w:r w:rsidRPr="00A02858">
        <w:rPr>
          <w:rFonts w:ascii="Century Gothic" w:eastAsia="Times New Roman" w:hAnsi="Century Gothic" w:cs="Times New Roman"/>
          <w:spacing w:val="47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1"/>
          <w:kern w:val="0"/>
          <w:sz w:val="21"/>
          <w:szCs w:val="21"/>
          <w:lang w:eastAsia="pl-PL"/>
          <w14:ligatures w14:val="none"/>
        </w:rPr>
        <w:t xml:space="preserve">o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których</w:t>
      </w:r>
      <w:r w:rsidRPr="00A02858">
        <w:rPr>
          <w:rFonts w:ascii="Century Gothic" w:eastAsia="Times New Roman" w:hAnsi="Century Gothic" w:cs="Times New Roman"/>
          <w:spacing w:val="3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mowa</w:t>
      </w:r>
      <w:r w:rsidRPr="00A02858">
        <w:rPr>
          <w:rFonts w:ascii="Century Gothic" w:eastAsia="Times New Roman" w:hAnsi="Century Gothic" w:cs="Times New Roman"/>
          <w:spacing w:val="3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</w:t>
      </w:r>
      <w:r w:rsidRPr="00A02858">
        <w:rPr>
          <w:rFonts w:ascii="Century Gothic" w:eastAsia="Times New Roman" w:hAnsi="Century Gothic" w:cs="Times New Roman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art.</w:t>
      </w:r>
      <w:r w:rsidRPr="00A02858">
        <w:rPr>
          <w:rFonts w:ascii="Century Gothic" w:eastAsia="Times New Roman" w:hAnsi="Century Gothic" w:cs="Times New Roman"/>
          <w:spacing w:val="2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63</w:t>
      </w:r>
      <w:r w:rsidRPr="00A02858">
        <w:rPr>
          <w:rFonts w:ascii="Century Gothic" w:eastAsia="Times New Roman" w:hAnsi="Century Gothic" w:cs="Times New Roman"/>
          <w:spacing w:val="3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ust.</w:t>
      </w:r>
      <w:r w:rsidRPr="00A02858">
        <w:rPr>
          <w:rFonts w:ascii="Century Gothic" w:eastAsia="Times New Roman" w:hAnsi="Century Gothic" w:cs="Times New Roman"/>
          <w:spacing w:val="4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1  ustawy</w:t>
      </w:r>
      <w:r w:rsidRPr="00A02858">
        <w:rPr>
          <w:rFonts w:ascii="Century Gothic" w:eastAsia="Times New Roman" w:hAnsi="Century Gothic" w:cs="Times New Roman"/>
          <w:spacing w:val="4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A02858">
        <w:rPr>
          <w:rFonts w:ascii="Century Gothic" w:eastAsia="Times New Roman" w:hAnsi="Century Gothic" w:cs="Times New Roman"/>
          <w:spacing w:val="2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udostępnianiu informacji o</w:t>
      </w:r>
      <w:r w:rsidRPr="00A02858">
        <w:rPr>
          <w:rFonts w:ascii="Century Gothic" w:eastAsia="Times New Roman" w:hAnsi="Century Gothic" w:cs="Times New Roman"/>
          <w:spacing w:val="2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lastRenderedPageBreak/>
        <w:t>środowisku i</w:t>
      </w:r>
      <w:r w:rsidRPr="00A02858">
        <w:rPr>
          <w:rFonts w:ascii="Century Gothic" w:eastAsia="Times New Roman" w:hAnsi="Century Gothic" w:cs="Times New Roman"/>
          <w:spacing w:val="1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jego</w:t>
      </w:r>
      <w:r w:rsidRPr="00A02858">
        <w:rPr>
          <w:rFonts w:ascii="Century Gothic" w:eastAsia="Times New Roman" w:hAnsi="Century Gothic" w:cs="Times New Roman"/>
          <w:spacing w:val="27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ochroni</w:t>
      </w:r>
      <w:r w:rsidRPr="00A02858">
        <w:rPr>
          <w:rFonts w:ascii="Century Gothic" w:eastAsia="Times New Roman" w:hAnsi="Century Gothic" w:cs="Times New Roman"/>
          <w:spacing w:val="4"/>
          <w:w w:val="105"/>
          <w:kern w:val="0"/>
          <w:sz w:val="21"/>
          <w:szCs w:val="21"/>
          <w:lang w:eastAsia="pl-PL"/>
          <w14:ligatures w14:val="none"/>
        </w:rPr>
        <w:t>e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, udziale</w:t>
      </w:r>
      <w:r w:rsidRPr="00A02858">
        <w:rPr>
          <w:rFonts w:ascii="Century Gothic" w:eastAsia="Times New Roman" w:hAnsi="Century Gothic" w:cs="Times New Roman"/>
          <w:spacing w:val="27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społeczeństwa w</w:t>
      </w:r>
      <w:r w:rsidRPr="00A02858">
        <w:rPr>
          <w:rFonts w:ascii="Century Gothic" w:eastAsia="Times New Roman" w:hAnsi="Century Gothic" w:cs="Times New Roman"/>
          <w:spacing w:val="1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ochronie</w:t>
      </w:r>
      <w:r w:rsidRPr="00A02858">
        <w:rPr>
          <w:rFonts w:ascii="Century Gothic" w:eastAsia="Times New Roman" w:hAnsi="Century Gothic" w:cs="Times New Roman"/>
          <w:spacing w:val="4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środowiska oraz</w:t>
      </w:r>
      <w:r w:rsidRPr="00A02858">
        <w:rPr>
          <w:rFonts w:ascii="Century Gothic" w:eastAsia="Times New Roman" w:hAnsi="Century Gothic" w:cs="Times New Roman"/>
          <w:spacing w:val="3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</w:t>
      </w:r>
      <w:r w:rsidRPr="00A02858">
        <w:rPr>
          <w:rFonts w:ascii="Century Gothic" w:eastAsia="Times New Roman" w:hAnsi="Century Gothic" w:cs="Times New Roman"/>
          <w:color w:val="000000" w:themeColor="text1"/>
          <w:spacing w:val="1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ocenach</w:t>
      </w:r>
      <w:r w:rsidRPr="00A02858">
        <w:rPr>
          <w:rFonts w:ascii="Century Gothic" w:eastAsia="Times New Roman" w:hAnsi="Century Gothic" w:cs="Times New Roman"/>
          <w:color w:val="000000" w:themeColor="text1"/>
          <w:spacing w:val="4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w w:val="106"/>
          <w:kern w:val="0"/>
          <w:sz w:val="21"/>
          <w:szCs w:val="21"/>
          <w:lang w:eastAsia="pl-PL"/>
          <w14:ligatures w14:val="none"/>
        </w:rPr>
        <w:t>oddziaływania</w:t>
      </w:r>
      <w:r w:rsidRPr="00A02858">
        <w:rPr>
          <w:rFonts w:ascii="Century Gothic" w:eastAsia="Times New Roman" w:hAnsi="Century Gothic" w:cs="Times New Roman"/>
          <w:color w:val="000000" w:themeColor="text1"/>
          <w:spacing w:val="4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na</w:t>
      </w:r>
      <w:r w:rsidRPr="00A02858">
        <w:rPr>
          <w:rFonts w:ascii="Century Gothic" w:eastAsia="Times New Roman" w:hAnsi="Century Gothic" w:cs="Times New Roman"/>
          <w:color w:val="000000" w:themeColor="text1"/>
          <w:spacing w:val="1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środowisko, a także biorąc</w:t>
      </w:r>
      <w:r w:rsidRPr="00A02858">
        <w:rPr>
          <w:rFonts w:ascii="Century Gothic" w:eastAsia="Times New Roman" w:hAnsi="Century Gothic" w:cs="Times New Roman"/>
          <w:color w:val="000000" w:themeColor="text1"/>
          <w:spacing w:val="1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pod</w:t>
      </w:r>
      <w:r w:rsidRPr="00A02858">
        <w:rPr>
          <w:rFonts w:ascii="Century Gothic" w:eastAsia="Times New Roman" w:hAnsi="Century Gothic" w:cs="Times New Roman"/>
          <w:color w:val="000000" w:themeColor="text1"/>
          <w:spacing w:val="2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uwagę</w:t>
      </w:r>
      <w:r w:rsidRPr="00A02858">
        <w:rPr>
          <w:rFonts w:ascii="Century Gothic" w:eastAsia="Times New Roman" w:hAnsi="Century Gothic" w:cs="Times New Roman"/>
          <w:color w:val="000000" w:themeColor="text1"/>
          <w:spacing w:val="28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opinie </w:t>
      </w:r>
      <w:r w:rsidRPr="00A02858">
        <w:rPr>
          <w:rFonts w:ascii="Century Gothic" w:eastAsia="Times New Roman" w:hAnsi="Century Gothic" w:cs="Times New Roman"/>
          <w:color w:val="000000" w:themeColor="text1"/>
          <w:w w:val="106"/>
          <w:kern w:val="0"/>
          <w:sz w:val="21"/>
          <w:szCs w:val="21"/>
          <w:lang w:eastAsia="pl-PL"/>
          <w14:ligatures w14:val="none"/>
        </w:rPr>
        <w:t>odpowiednich</w:t>
      </w:r>
      <w:r w:rsidRPr="00A02858">
        <w:rPr>
          <w:rFonts w:ascii="Century Gothic" w:eastAsia="Times New Roman" w:hAnsi="Century Gothic" w:cs="Times New Roman"/>
          <w:color w:val="000000" w:themeColor="text1"/>
          <w:spacing w:val="3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organów:        </w:t>
      </w:r>
    </w:p>
    <w:p w14:paraId="3E819C79" w14:textId="77777777" w:rsidR="00A02858" w:rsidRPr="00A02858" w:rsidRDefault="00A02858" w:rsidP="00A02858">
      <w:pPr>
        <w:widowControl w:val="0"/>
        <w:numPr>
          <w:ilvl w:val="0"/>
          <w:numId w:val="2"/>
        </w:numPr>
        <w:spacing w:before="42" w:after="0" w:line="276" w:lineRule="auto"/>
        <w:ind w:left="851" w:right="116"/>
        <w:contextualSpacing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Regionalnego Dyrektora Ochrony Środowiska w Poznaniu </w:t>
      </w:r>
    </w:p>
    <w:p w14:paraId="0D5C9CA3" w14:textId="77777777" w:rsidR="00A02858" w:rsidRPr="00A02858" w:rsidRDefault="00A02858" w:rsidP="00A02858">
      <w:pPr>
        <w:widowControl w:val="0"/>
        <w:numPr>
          <w:ilvl w:val="0"/>
          <w:numId w:val="4"/>
        </w:numPr>
        <w:spacing w:before="42" w:after="0" w:line="276" w:lineRule="auto"/>
        <w:ind w:left="1560" w:right="116"/>
        <w:contextualSpacing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Postanowienie</w:t>
      </w:r>
      <w:r w:rsidRPr="00A02858">
        <w:rPr>
          <w:rFonts w:ascii="Century Gothic" w:eastAsia="Times New Roman" w:hAnsi="Century Gothic" w:cs="Times New Roman"/>
          <w:color w:val="000000" w:themeColor="text1"/>
          <w:spacing w:val="27"/>
          <w:w w:val="11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z dnia 7 lutego 2025 roku nr WOO-IV.4220.45.2025.AK.2. (data</w:t>
      </w:r>
      <w:r w:rsidRPr="00A02858">
        <w:rPr>
          <w:rFonts w:ascii="Century Gothic" w:eastAsia="Times New Roman" w:hAnsi="Century Gothic" w:cs="Times New Roman"/>
          <w:color w:val="000000" w:themeColor="text1"/>
          <w:spacing w:val="3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wpływu 10.02.2025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3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w w:val="108"/>
          <w:kern w:val="0"/>
          <w:sz w:val="21"/>
          <w:szCs w:val="21"/>
          <w:lang w:eastAsia="pl-PL"/>
          <w14:ligatures w14:val="none"/>
        </w:rPr>
        <w:t>r.) – o potrzebie przeprowadzenia oceny oddziaływania na środowisko.</w:t>
      </w:r>
    </w:p>
    <w:p w14:paraId="34F1C20D" w14:textId="77777777" w:rsidR="00A02858" w:rsidRPr="00A02858" w:rsidRDefault="00A02858" w:rsidP="00A02858">
      <w:pPr>
        <w:widowControl w:val="0"/>
        <w:numPr>
          <w:ilvl w:val="0"/>
          <w:numId w:val="2"/>
        </w:numPr>
        <w:spacing w:before="42" w:after="0" w:line="276" w:lineRule="auto"/>
        <w:ind w:left="851" w:right="116"/>
        <w:contextualSpacing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Państwowego Powiatowego Inspektora Sanitarnego w</w:t>
      </w:r>
      <w:r w:rsidRPr="00A02858">
        <w:rPr>
          <w:rFonts w:ascii="Century Gothic" w:eastAsia="Times New Roman" w:hAnsi="Century Gothic" w:cs="Times New Roman"/>
          <w:color w:val="000000" w:themeColor="text1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Gnieźnie </w:t>
      </w:r>
    </w:p>
    <w:p w14:paraId="39AE4656" w14:textId="77777777" w:rsidR="00A02858" w:rsidRPr="00A02858" w:rsidRDefault="00A02858" w:rsidP="00A02858">
      <w:pPr>
        <w:widowControl w:val="0"/>
        <w:numPr>
          <w:ilvl w:val="0"/>
          <w:numId w:val="4"/>
        </w:numPr>
        <w:spacing w:before="42" w:after="0" w:line="276" w:lineRule="auto"/>
        <w:ind w:left="1560" w:right="116"/>
        <w:contextualSpacing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Opinia sanitarna z dnia 22 stycznia 2025 r. nr </w:t>
      </w:r>
      <w:r w:rsidRPr="00A02858">
        <w:rPr>
          <w:rFonts w:ascii="Century Gothic" w:eastAsia="Times New Roman" w:hAnsi="Century Gothic" w:cs="Times New Roman"/>
          <w:color w:val="000000" w:themeColor="text1"/>
          <w:w w:val="106"/>
          <w:kern w:val="0"/>
          <w:sz w:val="21"/>
          <w:szCs w:val="21"/>
          <w:lang w:eastAsia="pl-PL"/>
          <w14:ligatures w14:val="none"/>
        </w:rPr>
        <w:t>ON-NS.9022.5.1.2025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17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(data</w:t>
      </w:r>
      <w:r w:rsidRPr="00A02858">
        <w:rPr>
          <w:rFonts w:ascii="Century Gothic" w:eastAsia="Times New Roman" w:hAnsi="Century Gothic" w:cs="Times New Roman"/>
          <w:color w:val="000000" w:themeColor="text1"/>
          <w:spacing w:val="2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wpływu</w:t>
      </w:r>
      <w:r w:rsidRPr="00A02858">
        <w:rPr>
          <w:rFonts w:ascii="Century Gothic" w:eastAsia="Times New Roman" w:hAnsi="Century Gothic" w:cs="Times New Roman"/>
          <w:color w:val="000000" w:themeColor="text1"/>
          <w:spacing w:val="44"/>
          <w:kern w:val="0"/>
          <w:sz w:val="21"/>
          <w:szCs w:val="21"/>
          <w:lang w:eastAsia="pl-PL"/>
          <w14:ligatures w14:val="none"/>
        </w:rPr>
        <w:t xml:space="preserve"> 24.01.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3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w w:val="106"/>
          <w:kern w:val="0"/>
          <w:sz w:val="21"/>
          <w:szCs w:val="21"/>
          <w:lang w:eastAsia="pl-PL"/>
          <w14:ligatures w14:val="none"/>
        </w:rPr>
        <w:t xml:space="preserve">r.) – o braku potrzeby </w:t>
      </w:r>
      <w:r w:rsidRPr="00A02858">
        <w:rPr>
          <w:rFonts w:ascii="Century Gothic" w:eastAsia="Times New Roman" w:hAnsi="Century Gothic" w:cs="Times New Roman"/>
          <w:color w:val="000000" w:themeColor="text1"/>
          <w:w w:val="108"/>
          <w:kern w:val="0"/>
          <w:sz w:val="21"/>
          <w:szCs w:val="21"/>
          <w:lang w:eastAsia="pl-PL"/>
          <w14:ligatures w14:val="none"/>
        </w:rPr>
        <w:t>przeprowadzenia oceny oddziaływania na środowisko.</w:t>
      </w:r>
    </w:p>
    <w:p w14:paraId="6DCD345F" w14:textId="77777777" w:rsidR="00A02858" w:rsidRPr="00A02858" w:rsidRDefault="00A02858" w:rsidP="00A02858">
      <w:pPr>
        <w:widowControl w:val="0"/>
        <w:numPr>
          <w:ilvl w:val="0"/>
          <w:numId w:val="2"/>
        </w:numPr>
        <w:spacing w:before="42" w:after="0" w:line="276" w:lineRule="auto"/>
        <w:ind w:left="851" w:right="116"/>
        <w:contextualSpacing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Dyrektora Zarządu Zlewni Wód Polskich w</w:t>
      </w:r>
      <w:r w:rsidRPr="00A02858">
        <w:rPr>
          <w:rFonts w:ascii="Century Gothic" w:eastAsia="Times New Roman" w:hAnsi="Century Gothic" w:cs="Times New Roman"/>
          <w:color w:val="000000" w:themeColor="text1"/>
          <w:spacing w:val="4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Poznaniu </w:t>
      </w:r>
    </w:p>
    <w:p w14:paraId="745F0643" w14:textId="77777777" w:rsidR="00A02858" w:rsidRPr="00A02858" w:rsidRDefault="00A02858" w:rsidP="00A02858">
      <w:pPr>
        <w:widowControl w:val="0"/>
        <w:numPr>
          <w:ilvl w:val="0"/>
          <w:numId w:val="3"/>
        </w:numPr>
        <w:spacing w:before="42" w:after="0" w:line="276" w:lineRule="auto"/>
        <w:ind w:right="116"/>
        <w:contextualSpacing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Opinia z</w:t>
      </w:r>
      <w:r w:rsidRPr="00A02858">
        <w:rPr>
          <w:rFonts w:ascii="Century Gothic" w:eastAsia="Times New Roman" w:hAnsi="Century Gothic" w:cs="Times New Roman"/>
          <w:color w:val="000000" w:themeColor="text1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dnia </w:t>
      </w:r>
      <w:r w:rsidRPr="00A02858">
        <w:rPr>
          <w:rFonts w:ascii="Century Gothic" w:eastAsia="Times New Roman" w:hAnsi="Century Gothic" w:cs="Times New Roman"/>
          <w:color w:val="000000" w:themeColor="text1"/>
          <w:spacing w:val="2"/>
          <w:kern w:val="0"/>
          <w:sz w:val="21"/>
          <w:szCs w:val="21"/>
          <w:lang w:eastAsia="pl-PL"/>
          <w14:ligatures w14:val="none"/>
        </w:rPr>
        <w:t>14 stycznia</w:t>
      </w:r>
      <w:r w:rsidRPr="00A02858">
        <w:rPr>
          <w:rFonts w:ascii="Century Gothic" w:eastAsia="Times New Roman" w:hAnsi="Century Gothic" w:cs="Times New Roman"/>
          <w:color w:val="000000" w:themeColor="text1"/>
          <w:spacing w:val="4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3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r.</w:t>
      </w:r>
      <w:r w:rsidRPr="00A02858">
        <w:rPr>
          <w:rFonts w:ascii="Century Gothic" w:eastAsia="Times New Roman" w:hAnsi="Century Gothic" w:cs="Times New Roman"/>
          <w:color w:val="000000" w:themeColor="text1"/>
          <w:spacing w:val="14"/>
          <w:kern w:val="0"/>
          <w:sz w:val="21"/>
          <w:szCs w:val="21"/>
          <w:lang w:eastAsia="pl-PL"/>
          <w14:ligatures w14:val="none"/>
        </w:rPr>
        <w:t xml:space="preserve"> nr </w:t>
      </w:r>
      <w:r w:rsidRPr="00A02858">
        <w:rPr>
          <w:rFonts w:ascii="Century Gothic" w:eastAsia="Times New Roman" w:hAnsi="Century Gothic" w:cs="Times New Roman"/>
          <w:color w:val="000000" w:themeColor="text1"/>
          <w:w w:val="105"/>
          <w:kern w:val="0"/>
          <w:sz w:val="21"/>
          <w:szCs w:val="21"/>
          <w:lang w:eastAsia="pl-PL"/>
          <w14:ligatures w14:val="none"/>
        </w:rPr>
        <w:t>PZ.ZZŚ.4901.7.2025.AR.1</w:t>
      </w:r>
      <w:r w:rsidRPr="00A02858">
        <w:rPr>
          <w:rFonts w:ascii="Century Gothic" w:eastAsia="Times New Roman" w:hAnsi="Century Gothic" w:cs="Times New Roman"/>
          <w:color w:val="000000" w:themeColor="text1"/>
          <w:spacing w:val="8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(data</w:t>
      </w:r>
      <w:r w:rsidRPr="00A02858">
        <w:rPr>
          <w:rFonts w:ascii="Century Gothic" w:eastAsia="Times New Roman" w:hAnsi="Century Gothic" w:cs="Times New Roman"/>
          <w:color w:val="000000" w:themeColor="text1"/>
          <w:spacing w:val="3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wpływu</w:t>
      </w:r>
      <w:r w:rsidRPr="00A02858">
        <w:rPr>
          <w:rFonts w:ascii="Century Gothic" w:eastAsia="Times New Roman" w:hAnsi="Century Gothic" w:cs="Times New Roman"/>
          <w:color w:val="000000" w:themeColor="text1"/>
          <w:spacing w:val="46"/>
          <w:kern w:val="0"/>
          <w:sz w:val="21"/>
          <w:szCs w:val="21"/>
          <w:lang w:eastAsia="pl-PL"/>
          <w14:ligatures w14:val="none"/>
        </w:rPr>
        <w:t xml:space="preserve"> 15.01.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4"/>
          <w:kern w:val="0"/>
          <w:sz w:val="21"/>
          <w:szCs w:val="21"/>
          <w:lang w:eastAsia="pl-PL"/>
          <w14:ligatures w14:val="none"/>
        </w:rPr>
        <w:t xml:space="preserve"> r</w:t>
      </w:r>
      <w:r w:rsidRPr="00A02858">
        <w:rPr>
          <w:rFonts w:ascii="Century Gothic" w:eastAsia="Times New Roman" w:hAnsi="Century Gothic" w:cs="Times New Roman"/>
          <w:color w:val="000000" w:themeColor="text1"/>
          <w:w w:val="103"/>
          <w:kern w:val="0"/>
          <w:sz w:val="21"/>
          <w:szCs w:val="21"/>
          <w:lang w:eastAsia="pl-PL"/>
          <w14:ligatures w14:val="none"/>
        </w:rPr>
        <w:t xml:space="preserve">.) -  o </w:t>
      </w:r>
      <w:r w:rsidRPr="00A02858">
        <w:rPr>
          <w:rFonts w:ascii="Century Gothic" w:eastAsia="Times New Roman" w:hAnsi="Century Gothic" w:cs="Times New Roman"/>
          <w:color w:val="000000" w:themeColor="text1"/>
          <w:w w:val="106"/>
          <w:kern w:val="0"/>
          <w:sz w:val="21"/>
          <w:szCs w:val="21"/>
          <w:lang w:eastAsia="pl-PL"/>
          <w14:ligatures w14:val="none"/>
        </w:rPr>
        <w:t xml:space="preserve">braku potrzeby </w:t>
      </w:r>
      <w:r w:rsidRPr="00A02858">
        <w:rPr>
          <w:rFonts w:ascii="Century Gothic" w:eastAsia="Times New Roman" w:hAnsi="Century Gothic" w:cs="Times New Roman"/>
          <w:color w:val="000000" w:themeColor="text1"/>
          <w:w w:val="108"/>
          <w:kern w:val="0"/>
          <w:sz w:val="21"/>
          <w:szCs w:val="21"/>
          <w:lang w:eastAsia="pl-PL"/>
          <w14:ligatures w14:val="none"/>
        </w:rPr>
        <w:t>przeprowadzenia oceny oddziaływania na środowisko.</w:t>
      </w:r>
    </w:p>
    <w:p w14:paraId="7C802BF3" w14:textId="77777777" w:rsidR="00A02858" w:rsidRPr="00A02858" w:rsidRDefault="00A02858" w:rsidP="00A02858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5C2313F8" w14:textId="77777777" w:rsidR="00A02858" w:rsidRPr="00A02858" w:rsidRDefault="00A02858" w:rsidP="00A02858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t>postanawiam</w:t>
      </w:r>
    </w:p>
    <w:p w14:paraId="48C1F353" w14:textId="77777777" w:rsidR="00A02858" w:rsidRPr="00A02858" w:rsidRDefault="00A02858" w:rsidP="00A02858">
      <w:pPr>
        <w:numPr>
          <w:ilvl w:val="0"/>
          <w:numId w:val="1"/>
        </w:numPr>
        <w:suppressAutoHyphens/>
        <w:spacing w:before="120" w:after="120" w:line="276" w:lineRule="auto"/>
        <w:ind w:right="72"/>
        <w:jc w:val="both"/>
        <w:rPr>
          <w:rFonts w:ascii="Century Gothic" w:eastAsia="Calibri" w:hAnsi="Century Gothic" w:cs="Arial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Calibri" w:hAnsi="Century Gothic" w:cs="Arial"/>
          <w:b/>
          <w:kern w:val="0"/>
          <w:sz w:val="21"/>
          <w:szCs w:val="21"/>
          <w:lang w:eastAsia="pl-PL"/>
          <w14:ligatures w14:val="none"/>
        </w:rPr>
        <w:t>stwierdzić obowiązek przeprowadzenia oceny oddziaływania na środowisko</w:t>
      </w:r>
      <w:r w:rsidRPr="00A02858">
        <w:rPr>
          <w:rFonts w:ascii="Century Gothic" w:eastAsia="Calibri" w:hAnsi="Century Gothic" w:cs="Arial"/>
          <w:kern w:val="0"/>
          <w:sz w:val="21"/>
          <w:szCs w:val="21"/>
          <w:lang w:eastAsia="pl-PL"/>
          <w14:ligatures w14:val="none"/>
        </w:rPr>
        <w:t xml:space="preserve"> dla planowanego przedsięwzięcia polegającego na </w:t>
      </w:r>
      <w:r w:rsidRPr="00A02858">
        <w:rPr>
          <w:rFonts w:ascii="Century Gothic" w:eastAsia="Calibri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>budowie Centrum Dystrybucyjnego wraz z niezbędną infrastrukturą towarzyszącą i komunikacyjną w miejscowości Lulkowo, Gmina Gniezno, działka nr 283.</w:t>
      </w:r>
    </w:p>
    <w:p w14:paraId="53A09603" w14:textId="77777777" w:rsidR="00A02858" w:rsidRPr="00A02858" w:rsidRDefault="00A02858" w:rsidP="00A02858">
      <w:pPr>
        <w:numPr>
          <w:ilvl w:val="0"/>
          <w:numId w:val="1"/>
        </w:numPr>
        <w:suppressAutoHyphens/>
        <w:spacing w:before="120" w:after="120" w:line="276" w:lineRule="auto"/>
        <w:ind w:right="72"/>
        <w:jc w:val="both"/>
        <w:rPr>
          <w:rFonts w:ascii="Century Gothic" w:eastAsia="Calibri" w:hAnsi="Century Gothic" w:cs="Arial"/>
          <w:iCs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Calibri" w:hAnsi="Century Gothic" w:cs="Arial"/>
          <w:b/>
          <w:kern w:val="0"/>
          <w:sz w:val="21"/>
          <w:szCs w:val="21"/>
          <w:lang w:eastAsia="pl-PL"/>
          <w14:ligatures w14:val="none"/>
        </w:rPr>
        <w:t>określić zakres raportu o oddziaływaniu przedsięwzięcia na środowisko,</w:t>
      </w:r>
      <w:r w:rsidRPr="00A02858">
        <w:rPr>
          <w:rFonts w:ascii="Century Gothic" w:eastAsia="Calibri" w:hAnsi="Century Gothic" w:cs="Arial"/>
          <w:kern w:val="0"/>
          <w:sz w:val="21"/>
          <w:szCs w:val="21"/>
          <w:lang w:eastAsia="pl-PL"/>
          <w14:ligatures w14:val="none"/>
        </w:rPr>
        <w:t xml:space="preserve"> który powinien zostać sporządzony zgodnie z art. 66 ustawy z dnia 3 października 2008 r. </w:t>
      </w:r>
      <w:r w:rsidRPr="00A02858">
        <w:rPr>
          <w:rFonts w:ascii="Century Gothic" w:eastAsia="Calibri" w:hAnsi="Century Gothic" w:cs="Arial"/>
          <w:i/>
          <w:kern w:val="0"/>
          <w:sz w:val="21"/>
          <w:szCs w:val="21"/>
          <w:lang w:eastAsia="pl-PL"/>
          <w14:ligatures w14:val="none"/>
        </w:rPr>
        <w:t>o udostępnianiu informacji o środowisku i jego ochronie, udziale społeczeństwa w ochronie środowiska oraz o ocenach oddziaływania na środowisko</w:t>
      </w:r>
      <w:r w:rsidRPr="00A02858">
        <w:rPr>
          <w:rFonts w:ascii="Century Gothic" w:eastAsia="Calibri" w:hAnsi="Century Gothic" w:cs="Arial"/>
          <w:iCs/>
          <w:kern w:val="0"/>
          <w:sz w:val="21"/>
          <w:szCs w:val="21"/>
          <w:lang w:eastAsia="pl-PL"/>
          <w14:ligatures w14:val="none"/>
        </w:rPr>
        <w:t xml:space="preserve">, a ponadto winien zawierać szczegółową analizę podanych niżej zagadnień: </w:t>
      </w:r>
    </w:p>
    <w:p w14:paraId="52A7C948" w14:textId="77777777" w:rsidR="00A02858" w:rsidRPr="00A02858" w:rsidRDefault="00A02858" w:rsidP="00A02858">
      <w:pPr>
        <w:numPr>
          <w:ilvl w:val="0"/>
          <w:numId w:val="8"/>
        </w:numPr>
        <w:spacing w:after="0" w:line="276" w:lineRule="auto"/>
        <w:ind w:right="28" w:hanging="363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Wskazanie wszystkich obiektów i instalacji planowanych do budowy i montażu w ramach realizacji przedmiotowego przedsięwzięcia wraz z podaniem ich parametrów technicznych i technologicznych.</w:t>
      </w:r>
    </w:p>
    <w:p w14:paraId="09E1A0FB" w14:textId="77777777" w:rsidR="00A02858" w:rsidRPr="00A02858" w:rsidRDefault="00A02858" w:rsidP="00A02858">
      <w:pPr>
        <w:numPr>
          <w:ilvl w:val="0"/>
          <w:numId w:val="8"/>
        </w:numPr>
        <w:spacing w:after="0" w:line="276" w:lineRule="auto"/>
        <w:ind w:right="28" w:hanging="363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Przedstawienie bilansu poszczególnych powierzchni w związku z realizacją planowanego przedsięwzięcia, w szczególności wskazanie wielkości powierzchni zabudowy, wielkości powierzchni terenów utwardzonych i biologicznie czynnych.</w:t>
      </w:r>
    </w:p>
    <w:p w14:paraId="2FE97E26" w14:textId="77777777" w:rsidR="00A02858" w:rsidRPr="00A02858" w:rsidRDefault="00A02858" w:rsidP="00A02858">
      <w:pPr>
        <w:numPr>
          <w:ilvl w:val="0"/>
          <w:numId w:val="8"/>
        </w:numPr>
        <w:spacing w:after="37" w:line="240" w:lineRule="auto"/>
        <w:ind w:right="28" w:hanging="36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 zakresu ochrony przed hałasem:</w:t>
      </w:r>
    </w:p>
    <w:p w14:paraId="2B993DCA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Dołączenie informacji od właściwego organu o faktycznym zagospodarowaniu terenów wokół planowanego przedsięwzięcia, ze wskazaniem rodzajów terenów, o których mowa w art. 113 ust. 2 pkt 1 ustawy z dnia 27 kwietnia 2001 r. Prawo ochrony środowiska (Dz. U. z 2024 r. poz. 54 z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. zm.) i rozporządzeniu Ministra Środowiska z dnia 14 czerwca 2007 r. w sprawie dopuszczalnych poziomów hałasu w środowisku (Dz. U. z 2014 r. Nr 112); w szczególności należy określić odległości najbliższych terenów, o których mowa w wyżej wymienionych aktach prawnych, od granic terenu przedsięwzięcia.</w:t>
      </w:r>
    </w:p>
    <w:p w14:paraId="30E43AE3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Zinwentaryzowanie wszystkich planowanych źródeł hałasu na terenie przedsięwzięcia (również na czytelnym załączniku graficznym) wraz z podaniem ich poziomów mocy akustycznych (dołączenie DTR lub danych producenta wszystkich urządzeń celem weryfikacji wartości przyjętych do obliczeń w programie modelującym rozprzestrzenianie się hałasu w środowisku) i określeniem czasu pracy w ciągu 8 </w:t>
      </w: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lastRenderedPageBreak/>
        <w:t>najbardziej niekorzystnych godzin pory dnia i jednej najbardziej niekorzystnej godziny pory nocy.</w:t>
      </w:r>
    </w:p>
    <w:p w14:paraId="3EB3DB66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Przedłożenie załącznika graficznego opatrzonego legendą, na którym zostanie przedstawiony przebieg wszystkich tras, po których będą się poruszać pojazdy ciężkie w obrębie przedsięwzięcia (z oznaczeniem poszczególnych tras) oraz zostaną wskazane miejsca wykonywania manewrów pojazdów ciężkich w obrębie miejsc parkingowych i doków rozładowujących.</w:t>
      </w:r>
    </w:p>
    <w:p w14:paraId="14F4B618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Określenie oddziaływania planowanego przedsięwzięcia na środowisko w postaci czytelnych map z izoliniami poziomu dźwięku odpowiadającymi dopuszczalnym poziomom hałasu, zgodnie z rozporządzeniem w sprawie dopuszczalnych poziomów hałasu w środowisku, zróżnicowanych ze względu na rodzaj terenu. Ponadto na mapach akustycznych należy przedstawić: lokalizację granic terenów wymagających ochrony akustycznej (z uwzględnieniem faktycznego zagospodarowania i przeznaczenia terenów w miejscowym planie zagospodarowania przestrzennego), budynki mieszkalne lub o innej funkcji wymagającej ochrony akustycznej oraz pozostałe budynki, a także lokalizację punktów obliczeniowych (na granicy terenów chronionych oraz przed elewacją budynków). W obliczeniach uwzględnić wysokość, na której wyznaczono izolinie oraz punkty obliczeniowe, w zależności od ich lokalizacji.</w:t>
      </w:r>
    </w:p>
    <w:p w14:paraId="0AFA68A0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right="28" w:hanging="293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Dołączenie wydruków komputerowych zawierających pełne dane wejściowe do programu modelującego rozprzestrzenianie się hałasu w środowisku. Przeprowadzona symulacja powinna zostać wykonana zgodnie z obowiązującymi przepisami prawa krajowego i unijnego przy zastosowaniu rekomendowanego programu do obliczeń rozprzestrzeniania hałasu w środowisku.</w:t>
      </w:r>
    </w:p>
    <w:p w14:paraId="438C748D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right="28" w:hanging="293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 przypadku wystąpienia przekroczeń akustycznych standardów jakości środowiska określenie środków organizacyjnych, technicznych lub technologicznych ograniczających emisję hałasu (na przykład w przypadku barier obudów ograniczających emisję hałasu, należy podać informacje na temat: długości i wysokości oraz konstrukcji wykonania, rodzaju materiału z jakiego zostanie wykonana, a także skuteczność obniżania hałasu).</w:t>
      </w:r>
    </w:p>
    <w:p w14:paraId="7E60286D" w14:textId="77777777" w:rsidR="00A02858" w:rsidRPr="00A02858" w:rsidRDefault="00A02858" w:rsidP="00A02858">
      <w:pPr>
        <w:numPr>
          <w:ilvl w:val="0"/>
          <w:numId w:val="8"/>
        </w:numPr>
        <w:spacing w:after="0" w:line="276" w:lineRule="auto"/>
        <w:ind w:right="28" w:hanging="36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 zakresu ochrony przyrody:</w:t>
      </w:r>
    </w:p>
    <w:p w14:paraId="49FBCA51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Przedstawienie aktualnych informacji na temat występowania na terenie, na którym zaplanowano realizację przedsięwzięcia, chronionych, rzadkich i zagrożonych wyginięciem gatunków roślin, grzybów i zwierząt (ze szczególnym uwzględnieniem ptaków i płazów), a także siedlisk przyrodniczych wraz z podaniem źródła danych. W przypadku ptaków badaniami należy objąć także bufor o szerokości 100 m. W przypadku ptaków migrujących i zimujących należy wskazać w okolicy ważniejsze miejsca koncentracji gęsi, żurawi i ptaków siewkowatych. Należy także przedłożyć inwentaryzację organizmów wodnych zbiornika wodnego, który przeznaczony jest do likwidacji.</w:t>
      </w:r>
    </w:p>
    <w:p w14:paraId="5B8D74D8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Przedstawienie oceny wpływu przedsięwzięcia na szatę roślinną oraz faunę.</w:t>
      </w:r>
    </w:p>
    <w:p w14:paraId="5CC86021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Przedstawienie źródeł danych dotyczących przyrody, w szczególności informacji na temat przeprowadzonych badań terenowych wraz z podaniem terminów oraz metodyki. Terminy badań muszą zapewnić możliwość uchwycenia zmienności sezonowej szaty roślinnej, fauny oraz bioty grzybów.</w:t>
      </w:r>
    </w:p>
    <w:p w14:paraId="0E1CADC7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Wskazanie maksymalnej przewidywanej liczby, gatunków i wymiarów drzew i krzewów przeznaczonych do ewentualnej wycinki wraz z przedstawieniem propozycji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nasadzeń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minimalizujących straty przyrodnicze.</w:t>
      </w:r>
    </w:p>
    <w:p w14:paraId="7D437252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Dokonanie oceny oddziaływania planowanego przedsięwzięcia na bioróżnorodność i wyjaśnienie czy przedsięwzięcie wpłynie na zmniejszenie różnorodności gatunków, w tym gatunków chronionych na mocy przepisów dyrektywy siedliskowej i dyrektywy ptasiej, na ptaki z powodu których wyznaczono obszar ważny dla ptaków „Jezioro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Wierzbiczańskie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” oraz czy wpłynie na bogactwo gatunków lub skład gatunkowy roślinności na badanym obszarze, w tym wyjaśnienie czy przedsięwzięcie wywoła pośrednio lub bezpośrednio szkody, utratę i fragmentację roślinności, a także czy wpłynie na rodzaj użytkowania gruntu oraz funkcję ekosystemu, na etapie realizacji, eksploatacji i likwidacji przedsięwzięcia.</w:t>
      </w:r>
    </w:p>
    <w:p w14:paraId="1F85BB7D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Przedstawienie działań minimalizujących na etapie realizacji i eksploatacji przedsięwzięcia, w tym: przedstawienie propozycji odłowu i przeniesienia w odpowiednie siedlisko organizmów wodnych z planowanego do likwidacji zbiornika wodnego, wykonanie siedliska zastępczego dla płazów, wykonanie zabezpieczeń uniemożliwiających dostanie się zwierząt do planowanego zbiornika retencyjnego lub umożliwiających wydostanie się ze zbiornika zwierząt, które w sposób przypadkowy mogą zostać w nim uwięzione.</w:t>
      </w:r>
    </w:p>
    <w:p w14:paraId="68765C16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Przedstawienie dokumentacji fotograficznej analizowanego terenu.</w:t>
      </w:r>
    </w:p>
    <w:p w14:paraId="1FB7A23E" w14:textId="77777777" w:rsidR="00A02858" w:rsidRPr="00A02858" w:rsidRDefault="00A02858" w:rsidP="00A02858">
      <w:pPr>
        <w:numPr>
          <w:ilvl w:val="1"/>
          <w:numId w:val="8"/>
        </w:numPr>
        <w:spacing w:after="0" w:line="276" w:lineRule="auto"/>
        <w:ind w:left="601" w:right="28" w:hanging="295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Przedstawienie oceny oddziaływania przedsięwzięcia na krajobraz, w tym na jego elementy o znaczeniu kulturowym, historycznym i archeologicznym. Należy przedstawić działania ograniczające negatywne oddziaływanie przedsięwzięcia na krajobraz.</w:t>
      </w:r>
    </w:p>
    <w:p w14:paraId="62D7EDBA" w14:textId="77777777" w:rsidR="00A02858" w:rsidRPr="00A02858" w:rsidRDefault="00A02858" w:rsidP="00A02858">
      <w:pPr>
        <w:spacing w:after="0" w:line="276" w:lineRule="auto"/>
        <w:ind w:right="2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5.</w:t>
      </w:r>
      <w:r w:rsidRPr="00A0285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Z zakresu ochrony klimatu wyjaśnienie, w jaki sposób przedsięwzięcie może wpłynąć na zmiany klimatu i czy przewidziano rozwiązania łagodzące te zmiany oraz dokonanie oceny odporności przedsięwzięcia na przewidywane zmiany klimatu, tj. wyjaśnienie czy przedsięwzięcie będzie przystosowane do postępujących zmian klimatu uwzględniając elementy związane z klęskami żywiołowymi np. silne wiatry, susza, pożary, fale upałów i mrozów, powodzie, nawalne deszcze i burze, intensywne opady śniegu i opisanie działań minimalizujących.</w:t>
      </w:r>
    </w:p>
    <w:p w14:paraId="10C7E42C" w14:textId="77777777" w:rsidR="00A02858" w:rsidRPr="00A02858" w:rsidRDefault="00A02858" w:rsidP="00A02858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t>Uzasadnienie</w:t>
      </w:r>
    </w:p>
    <w:p w14:paraId="5F89192A" w14:textId="77777777" w:rsidR="00A02858" w:rsidRPr="00A02858" w:rsidRDefault="00A02858" w:rsidP="00A02858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</w:pPr>
    </w:p>
    <w:p w14:paraId="29974E67" w14:textId="77777777" w:rsidR="00A02858" w:rsidRPr="00A02858" w:rsidRDefault="00A02858" w:rsidP="00A02858">
      <w:pPr>
        <w:widowControl w:val="0"/>
        <w:numPr>
          <w:ilvl w:val="0"/>
          <w:numId w:val="5"/>
        </w:numPr>
        <w:spacing w:after="0" w:line="276" w:lineRule="auto"/>
        <w:ind w:right="74"/>
        <w:contextualSpacing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Wnioskiem z</w:t>
      </w:r>
      <w:r w:rsidRPr="00A02858">
        <w:rPr>
          <w:rFonts w:ascii="Century Gothic" w:eastAsia="Times New Roman" w:hAnsi="Century Gothic" w:cs="Times New Roman"/>
          <w:spacing w:val="1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dnia</w:t>
      </w:r>
      <w:r w:rsidRPr="00A02858">
        <w:rPr>
          <w:rFonts w:ascii="Century Gothic" w:eastAsia="Times New Roman" w:hAnsi="Century Gothic" w:cs="Times New Roman"/>
          <w:spacing w:val="4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20 grudnia 2024</w:t>
      </w:r>
      <w:r w:rsidRPr="00A02858">
        <w:rPr>
          <w:rFonts w:ascii="Century Gothic" w:eastAsia="Times New Roman" w:hAnsi="Century Gothic" w:cs="Times New Roman"/>
          <w:spacing w:val="4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r. (data wpływu 27.12.2024 r.) Inwestor Centrum Wynajmu Nieruchomości 4 S.A. ul. Ostrowska 122, 63-700 Krotoszyn reprezentowany przez Pełnomocnika Pana Ksawerego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Miksiewicz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z firmy MESA PROJEKT Sp. z o. o. ul. Marcina 11, 40-854 Katowice zwrócił</w:t>
      </w:r>
      <w:r w:rsidRPr="00A02858">
        <w:rPr>
          <w:rFonts w:ascii="Century Gothic" w:eastAsia="Times New Roman" w:hAnsi="Century Gothic" w:cs="Times New Roman"/>
          <w:spacing w:val="48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się</w:t>
      </w:r>
      <w:r w:rsidRPr="00A02858">
        <w:rPr>
          <w:rFonts w:ascii="Century Gothic" w:eastAsia="Times New Roman" w:hAnsi="Century Gothic" w:cs="Times New Roman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do</w:t>
      </w:r>
      <w:r w:rsidRPr="00A02858">
        <w:rPr>
          <w:rFonts w:ascii="Century Gothic" w:eastAsia="Times New Roman" w:hAnsi="Century Gothic" w:cs="Times New Roman"/>
          <w:spacing w:val="38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Wójta</w:t>
      </w:r>
      <w:r w:rsidRPr="00A02858">
        <w:rPr>
          <w:rFonts w:ascii="Century Gothic" w:eastAsia="Times New Roman" w:hAnsi="Century Gothic" w:cs="Times New Roman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Gminy</w:t>
      </w:r>
      <w:r w:rsidRPr="00A02858">
        <w:rPr>
          <w:rFonts w:ascii="Century Gothic" w:eastAsia="Times New Roman" w:hAnsi="Century Gothic" w:cs="Times New Roman"/>
          <w:spacing w:val="5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Gniezno</w:t>
      </w:r>
      <w:r w:rsidRPr="00A02858">
        <w:rPr>
          <w:rFonts w:ascii="Century Gothic" w:eastAsia="Times New Roman" w:hAnsi="Century Gothic" w:cs="Times New Roman"/>
          <w:spacing w:val="57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A02858">
        <w:rPr>
          <w:rFonts w:ascii="Century Gothic" w:eastAsia="Times New Roman" w:hAnsi="Century Gothic" w:cs="Times New Roman"/>
          <w:spacing w:val="3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wydanie</w:t>
      </w:r>
      <w:r w:rsidRPr="00A02858">
        <w:rPr>
          <w:rFonts w:ascii="Century Gothic" w:eastAsia="Times New Roman" w:hAnsi="Century Gothic" w:cs="Times New Roman"/>
          <w:spacing w:val="4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decyzji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A02858">
        <w:rPr>
          <w:rFonts w:ascii="Century Gothic" w:eastAsia="Times New Roman" w:hAnsi="Century Gothic" w:cs="Times New Roman"/>
          <w:spacing w:val="1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środowiskowych</w:t>
      </w:r>
      <w:r w:rsidRPr="00A02858">
        <w:rPr>
          <w:rFonts w:ascii="Century Gothic" w:eastAsia="Times New Roman" w:hAnsi="Century Gothic" w:cs="Times New Roman"/>
          <w:spacing w:val="9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uwarunkowaniach</w:t>
      </w:r>
      <w:r w:rsidRPr="00A02858">
        <w:rPr>
          <w:rFonts w:ascii="Century Gothic" w:eastAsia="Times New Roman" w:hAnsi="Century Gothic" w:cs="Times New Roman"/>
          <w:spacing w:val="2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dla</w:t>
      </w:r>
      <w:r w:rsidRPr="00A02858">
        <w:rPr>
          <w:rFonts w:ascii="Century Gothic" w:eastAsia="Times New Roman" w:hAnsi="Century Gothic" w:cs="Times New Roman"/>
          <w:spacing w:val="2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przedsięwzięcia polegającego</w:t>
      </w:r>
      <w:r w:rsidRPr="00A02858">
        <w:rPr>
          <w:rFonts w:ascii="Century Gothic" w:eastAsia="Times New Roman" w:hAnsi="Century Gothic" w:cs="Times New Roman"/>
          <w:spacing w:val="22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na</w:t>
      </w:r>
      <w:r w:rsidRPr="00A02858">
        <w:rPr>
          <w:rFonts w:ascii="Century Gothic" w:eastAsia="Times New Roman" w:hAnsi="Century Gothic" w:cs="Times New Roman"/>
          <w:spacing w:val="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budowie Centrum Dystrybucyjnego wraz z niezbędną infrastrukturą towarzyszącą i komunikacyjną w miejscowości Lulkowo, Gmina Gniezno, działka nr 283.</w:t>
      </w:r>
    </w:p>
    <w:p w14:paraId="2CA79FB5" w14:textId="77777777" w:rsidR="00A02858" w:rsidRPr="00A02858" w:rsidRDefault="00A02858" w:rsidP="00A02858">
      <w:pPr>
        <w:widowControl w:val="0"/>
        <w:numPr>
          <w:ilvl w:val="0"/>
          <w:numId w:val="5"/>
        </w:numPr>
        <w:spacing w:after="0" w:line="276" w:lineRule="auto"/>
        <w:ind w:right="74"/>
        <w:contextualSpacing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Na podstawie art. 75 ust. 1 pkt 4 ustawy o udostępnieniu informacji o środowisku i jego ochronie, udziale społeczeństwa w ochronie środowiska oraz ocenach oddziaływania na środowisko, zwanej dalej ustawą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ooś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, stwierdzono, że organem właściwym do wydania decyzji o środowiskowych uwarunkowaniach jest Wójt Gminy Gniezno. </w:t>
      </w:r>
    </w:p>
    <w:p w14:paraId="35A6B7E0" w14:textId="77777777" w:rsidR="00A02858" w:rsidRPr="00A02858" w:rsidRDefault="00A02858" w:rsidP="00A02858">
      <w:pPr>
        <w:widowControl w:val="0"/>
        <w:numPr>
          <w:ilvl w:val="0"/>
          <w:numId w:val="5"/>
        </w:numPr>
        <w:spacing w:after="0" w:line="276" w:lineRule="auto"/>
        <w:ind w:right="74"/>
        <w:contextualSpacing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Na podstawie wniosku, a w szczególności zgodnie z treścią karty informacyjnej przedsięwzięcia wraz z załącznikami stwierdzić należało, że planowane </w:t>
      </w:r>
      <w:r w:rsidRPr="00A02858">
        <w:rPr>
          <w:rFonts w:ascii="Century Gothic" w:eastAsia="Times New Roman" w:hAnsi="Century Gothic" w:cs="Times New Roman"/>
          <w:w w:val="106"/>
          <w:kern w:val="0"/>
          <w:sz w:val="21"/>
          <w:szCs w:val="21"/>
          <w:lang w:eastAsia="pl-PL"/>
          <w14:ligatures w14:val="none"/>
        </w:rPr>
        <w:t>przedsięwzięcie</w:t>
      </w:r>
      <w:r w:rsidRPr="00A02858">
        <w:rPr>
          <w:rFonts w:ascii="Century Gothic" w:eastAsia="Times New Roman" w:hAnsi="Century Gothic" w:cs="Times New Roman"/>
          <w:spacing w:val="7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zalicza się</w:t>
      </w:r>
      <w:r w:rsidRPr="00A02858">
        <w:rPr>
          <w:rFonts w:ascii="Century Gothic" w:eastAsia="Times New Roman" w:hAnsi="Century Gothic" w:cs="Times New Roman"/>
          <w:spacing w:val="3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do</w:t>
      </w:r>
      <w:r w:rsidRPr="00A02858">
        <w:rPr>
          <w:rFonts w:ascii="Century Gothic" w:eastAsia="Times New Roman" w:hAnsi="Century Gothic" w:cs="Times New Roman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przedsięwzięć mogących potencjalnie </w:t>
      </w: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znacząco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oddziaływać na</w:t>
      </w:r>
      <w:r w:rsidRPr="00A02858">
        <w:rPr>
          <w:rFonts w:ascii="Century Gothic" w:eastAsia="Times New Roman" w:hAnsi="Century Gothic" w:cs="Times New Roman"/>
          <w:spacing w:val="5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środowisko </w:t>
      </w:r>
      <w:r w:rsidRPr="00A02858">
        <w:rPr>
          <w:rFonts w:ascii="Century Gothic" w:eastAsia="Times New Roman" w:hAnsi="Century Gothic" w:cs="Times New Roman"/>
          <w:w w:val="223"/>
          <w:kern w:val="0"/>
          <w:sz w:val="21"/>
          <w:szCs w:val="21"/>
          <w:lang w:eastAsia="pl-PL"/>
          <w14:ligatures w14:val="none"/>
        </w:rPr>
        <w:t>-</w:t>
      </w:r>
      <w:r w:rsidRPr="00A02858">
        <w:rPr>
          <w:rFonts w:ascii="Century Gothic" w:eastAsia="Times New Roman" w:hAnsi="Century Gothic" w:cs="Times New Roman"/>
          <w:spacing w:val="-66"/>
          <w:w w:val="22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wymienione jest w</w:t>
      </w:r>
      <w:r w:rsidRPr="00A02858">
        <w:rPr>
          <w:rFonts w:ascii="Century Gothic" w:eastAsia="Times New Roman" w:hAnsi="Century Gothic" w:cs="Times New Roman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§ 3 ust. 1 pkt 31;  § 3 ust. 1 pkt 37 b) i d); § 3 ust. 1 pkt 54 b);  § 3 ust. 1 pkt 58 b);  § 3 ust. 1 pkt 62;  § 3 ust. 1 pkt 83 b) Rozporządzenia Rady Ministrów z dnia 10 września 2019 r. w sprawie przedsięwzięć </w:t>
      </w:r>
      <w:r w:rsidRPr="00A02858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lastRenderedPageBreak/>
        <w:t>mogących znacząco oddziaływać na środowisko /Dz. U. z 2019 r. poz. 1839/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</w:t>
      </w:r>
      <w:r w:rsidRPr="00A02858">
        <w:rPr>
          <w:rFonts w:ascii="Century Gothic" w:eastAsia="Times New Roman" w:hAnsi="Century Gothic" w:cs="Times New Roman"/>
          <w:w w:val="102"/>
          <w:kern w:val="0"/>
          <w:sz w:val="21"/>
          <w:szCs w:val="21"/>
          <w:lang w:eastAsia="pl-PL"/>
          <w14:ligatures w14:val="none"/>
        </w:rPr>
        <w:t xml:space="preserve">Wobec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powyższego przedmiotowe przedsięwzięcie zalicza się</w:t>
      </w:r>
      <w:r w:rsidRPr="00A02858">
        <w:rPr>
          <w:rFonts w:ascii="Century Gothic" w:eastAsia="Times New Roman" w:hAnsi="Century Gothic" w:cs="Times New Roman"/>
          <w:spacing w:val="3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do</w:t>
      </w:r>
      <w:r w:rsidRPr="00A02858">
        <w:rPr>
          <w:rFonts w:ascii="Century Gothic" w:eastAsia="Times New Roman" w:hAnsi="Century Gothic" w:cs="Times New Roman"/>
          <w:spacing w:val="4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4"/>
          <w:kern w:val="0"/>
          <w:sz w:val="21"/>
          <w:szCs w:val="21"/>
          <w:lang w:eastAsia="pl-PL"/>
          <w14:ligatures w14:val="none"/>
        </w:rPr>
        <w:t xml:space="preserve">przedsięwzięć mogących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potencjalnie  znacząco  oddziaływać  na  środowisko,  dla  których  </w:t>
      </w: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obowiązek </w:t>
      </w:r>
      <w:r w:rsidRPr="00A02858">
        <w:rPr>
          <w:rFonts w:ascii="Century Gothic" w:eastAsia="Times New Roman" w:hAnsi="Century Gothic" w:cs="Times New Roman"/>
          <w:w w:val="108"/>
          <w:kern w:val="0"/>
          <w:sz w:val="21"/>
          <w:szCs w:val="21"/>
          <w:lang w:eastAsia="pl-PL"/>
          <w14:ligatures w14:val="none"/>
        </w:rPr>
        <w:t xml:space="preserve">przeprowadzenia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oceny oddziaływania  na</w:t>
      </w:r>
      <w:r w:rsidRPr="00A02858">
        <w:rPr>
          <w:rFonts w:ascii="Century Gothic" w:eastAsia="Times New Roman" w:hAnsi="Century Gothic" w:cs="Times New Roman"/>
          <w:spacing w:val="1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środowisko może</w:t>
      </w:r>
      <w:r w:rsidRPr="00A02858">
        <w:rPr>
          <w:rFonts w:ascii="Century Gothic" w:eastAsia="Times New Roman" w:hAnsi="Century Gothic" w:cs="Times New Roman"/>
          <w:spacing w:val="5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być</w:t>
      </w:r>
      <w:r w:rsidRPr="00A02858">
        <w:rPr>
          <w:rFonts w:ascii="Century Gothic" w:eastAsia="Times New Roman" w:hAnsi="Century Gothic" w:cs="Times New Roman"/>
          <w:spacing w:val="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6"/>
          <w:kern w:val="0"/>
          <w:sz w:val="21"/>
          <w:szCs w:val="21"/>
          <w:lang w:eastAsia="pl-PL"/>
          <w14:ligatures w14:val="none"/>
        </w:rPr>
        <w:t>stwierdzony.</w:t>
      </w:r>
      <w:r w:rsidRPr="00A02858">
        <w:rPr>
          <w:rFonts w:ascii="Century Gothic" w:eastAsia="Times New Roman" w:hAnsi="Century Gothic" w:cs="Times New Roman"/>
          <w:spacing w:val="31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</w:p>
    <w:p w14:paraId="57E8CD09" w14:textId="77777777" w:rsidR="00A02858" w:rsidRPr="00A02858" w:rsidRDefault="00A02858" w:rsidP="00A02858">
      <w:pPr>
        <w:numPr>
          <w:ilvl w:val="0"/>
          <w:numId w:val="5"/>
        </w:numPr>
        <w:spacing w:before="120" w:after="120" w:line="276" w:lineRule="auto"/>
        <w:contextualSpacing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t xml:space="preserve">Dane o wniosku zostały zamieszczone w publicznie dostępnym wykazie danych, </w:t>
      </w:r>
      <w:r w:rsidRPr="00A02858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br/>
        <w:t>z którym można się zapoznać w Urzędzie Gminy Gniezno, al. Reymonta 9-11, pokój nr 9, w godzinach urzędowania oraz na stronie internetowej www.ekoportal.gov.pl – centrum informacji o środowisku.</w:t>
      </w:r>
    </w:p>
    <w:p w14:paraId="190EC91C" w14:textId="77777777" w:rsidR="00A02858" w:rsidRPr="00A02858" w:rsidRDefault="00A02858" w:rsidP="00A02858">
      <w:pPr>
        <w:numPr>
          <w:ilvl w:val="0"/>
          <w:numId w:val="5"/>
        </w:numPr>
        <w:spacing w:before="120" w:after="120" w:line="276" w:lineRule="auto"/>
        <w:contextualSpacing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Calibri"/>
          <w:w w:val="103"/>
          <w:kern w:val="0"/>
          <w:sz w:val="21"/>
          <w:szCs w:val="21"/>
          <w:lang w:eastAsia="pl-PL"/>
          <w14:ligatures w14:val="none"/>
        </w:rPr>
        <w:t>W związku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z tym, iż liczba stron przedmiotowego postępowania przekraczała 10, Wójt Gminy Gniezno zawiadomił strony postępowania administracyjnego w formie Obwieszczenia (znak OŚR. 6220.7.2024 z dnia 2 stycznia 2025 r.) o wszczętym w dniu 27 grudnia 2024 r. postępowaniu w sprawie wydania decyzji o środowiskowych uwarunkowaniach dla wnioskowanego przedsięwzięcia informując o możliwości zapoznania się z aktami sprawy.</w:t>
      </w:r>
    </w:p>
    <w:p w14:paraId="6745EDCB" w14:textId="77777777" w:rsidR="00A02858" w:rsidRPr="00A02858" w:rsidRDefault="00A02858" w:rsidP="00A0285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Zgodnie z art. 64 us</w:t>
      </w:r>
      <w:r w:rsidRPr="00A02858">
        <w:rPr>
          <w:rFonts w:ascii="Century Gothic" w:eastAsia="Times New Roman" w:hAnsi="Century Gothic" w:cs="Times New Roman"/>
          <w:spacing w:val="4"/>
          <w:kern w:val="0"/>
          <w:sz w:val="21"/>
          <w:szCs w:val="21"/>
          <w:lang w:eastAsia="pl-PL"/>
          <w14:ligatures w14:val="none"/>
        </w:rPr>
        <w:t>t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l pkt 1, 2 i 4 ustawy z dnia 3 października 2008 </w:t>
      </w:r>
      <w:r w:rsidRPr="00A02858">
        <w:rPr>
          <w:rFonts w:ascii="Century Gothic" w:eastAsia="Times New Roman" w:hAnsi="Century Gothic" w:cs="Times New Roman"/>
          <w:w w:val="102"/>
          <w:kern w:val="0"/>
          <w:sz w:val="21"/>
          <w:szCs w:val="21"/>
          <w:lang w:eastAsia="pl-PL"/>
          <w14:ligatures w14:val="none"/>
        </w:rPr>
        <w:t xml:space="preserve">roku </w:t>
      </w:r>
      <w:r w:rsidRPr="00A02858">
        <w:rPr>
          <w:rFonts w:ascii="Century Gothic" w:eastAsia="Times New Roman" w:hAnsi="Century Gothic" w:cs="Times New Roman"/>
          <w:w w:val="102"/>
          <w:kern w:val="0"/>
          <w:sz w:val="21"/>
          <w:szCs w:val="21"/>
          <w:lang w:eastAsia="pl-PL"/>
          <w14:ligatures w14:val="none"/>
        </w:rPr>
        <w:br/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A02858">
        <w:rPr>
          <w:rFonts w:ascii="Century Gothic" w:eastAsia="Times New Roman" w:hAnsi="Century Gothic" w:cs="Times New Roman"/>
          <w:spacing w:val="2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udostępnianiu informacji o</w:t>
      </w:r>
      <w:r w:rsidRPr="00A02858">
        <w:rPr>
          <w:rFonts w:ascii="Century Gothic" w:eastAsia="Times New Roman" w:hAnsi="Century Gothic" w:cs="Times New Roman"/>
          <w:spacing w:val="2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środowisku i</w:t>
      </w:r>
      <w:r w:rsidRPr="00A02858">
        <w:rPr>
          <w:rFonts w:ascii="Century Gothic" w:eastAsia="Times New Roman" w:hAnsi="Century Gothic" w:cs="Times New Roman"/>
          <w:spacing w:val="18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jego</w:t>
      </w:r>
      <w:r w:rsidRPr="00A02858">
        <w:rPr>
          <w:rFonts w:ascii="Century Gothic" w:eastAsia="Times New Roman" w:hAnsi="Century Gothic" w:cs="Times New Roman"/>
          <w:spacing w:val="27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ochroni</w:t>
      </w:r>
      <w:r w:rsidRPr="00A02858">
        <w:rPr>
          <w:rFonts w:ascii="Century Gothic" w:eastAsia="Times New Roman" w:hAnsi="Century Gothic" w:cs="Times New Roman"/>
          <w:spacing w:val="-1"/>
          <w:kern w:val="0"/>
          <w:sz w:val="21"/>
          <w:szCs w:val="21"/>
          <w:lang w:eastAsia="pl-PL"/>
          <w14:ligatures w14:val="none"/>
        </w:rPr>
        <w:t>e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, udziale</w:t>
      </w:r>
      <w:r w:rsidRPr="00A02858">
        <w:rPr>
          <w:rFonts w:ascii="Century Gothic" w:eastAsia="Times New Roman" w:hAnsi="Century Gothic" w:cs="Times New Roman"/>
          <w:spacing w:val="4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6"/>
          <w:kern w:val="0"/>
          <w:sz w:val="21"/>
          <w:szCs w:val="21"/>
          <w:lang w:eastAsia="pl-PL"/>
          <w14:ligatures w14:val="none"/>
        </w:rPr>
        <w:t>społeczeństwa</w:t>
      </w:r>
      <w:r w:rsidRPr="00A02858">
        <w:rPr>
          <w:rFonts w:ascii="Century Gothic" w:eastAsia="Times New Roman" w:hAnsi="Century Gothic" w:cs="Times New Roman"/>
          <w:spacing w:val="9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spacing w:val="9"/>
          <w:w w:val="106"/>
          <w:kern w:val="0"/>
          <w:sz w:val="21"/>
          <w:szCs w:val="21"/>
          <w:lang w:eastAsia="pl-PL"/>
          <w14:ligatures w14:val="none"/>
        </w:rPr>
        <w:br/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</w:t>
      </w:r>
      <w:r w:rsidRPr="00A02858">
        <w:rPr>
          <w:rFonts w:ascii="Century Gothic" w:eastAsia="Times New Roman" w:hAnsi="Century Gothic" w:cs="Times New Roman"/>
          <w:spacing w:val="1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w w:val="104"/>
          <w:kern w:val="0"/>
          <w:sz w:val="21"/>
          <w:szCs w:val="21"/>
          <w:lang w:eastAsia="pl-PL"/>
          <w14:ligatures w14:val="none"/>
        </w:rPr>
        <w:t xml:space="preserve">ochronie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środowiska oraz</w:t>
      </w:r>
      <w:r w:rsidRPr="00A02858">
        <w:rPr>
          <w:rFonts w:ascii="Century Gothic" w:eastAsia="Times New Roman" w:hAnsi="Century Gothic" w:cs="Times New Roman"/>
          <w:spacing w:val="2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A02858">
        <w:rPr>
          <w:rFonts w:ascii="Century Gothic" w:eastAsia="Times New Roman" w:hAnsi="Century Gothic" w:cs="Times New Roman"/>
          <w:spacing w:val="2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ocenach</w:t>
      </w:r>
      <w:r w:rsidRPr="00A02858">
        <w:rPr>
          <w:rFonts w:ascii="Century Gothic" w:eastAsia="Times New Roman" w:hAnsi="Century Gothic" w:cs="Times New Roman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oddziaływania na środowisko</w:t>
      </w:r>
      <w:r w:rsidRPr="00A02858">
        <w:rPr>
          <w:rFonts w:ascii="Century Gothic" w:eastAsia="Times New Roman" w:hAnsi="Century Gothic" w:cs="Times New Roman"/>
          <w:spacing w:val="5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organ</w:t>
      </w:r>
      <w:r w:rsidRPr="00A02858">
        <w:rPr>
          <w:rFonts w:ascii="Century Gothic" w:eastAsia="Times New Roman" w:hAnsi="Century Gothic" w:cs="Times New Roman"/>
          <w:spacing w:val="2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prowadzący </w:t>
      </w: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postępowanie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wystąpił o opinię w sprawie potrzeby </w:t>
      </w:r>
      <w:r w:rsidRPr="00A02858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przeprowadzenia</w:t>
      </w:r>
      <w:r w:rsidRPr="00A02858">
        <w:rPr>
          <w:rFonts w:ascii="Century Gothic" w:eastAsia="Times New Roman" w:hAnsi="Century Gothic" w:cs="Times New Roman"/>
          <w:spacing w:val="55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OOŚ i ewentualnego </w:t>
      </w:r>
      <w:r w:rsidRPr="00A02858">
        <w:rPr>
          <w:rFonts w:ascii="Century Gothic" w:eastAsia="Times New Roman" w:hAnsi="Century Gothic" w:cs="Times New Roman"/>
          <w:w w:val="104"/>
          <w:kern w:val="0"/>
          <w:sz w:val="21"/>
          <w:szCs w:val="21"/>
          <w:lang w:eastAsia="pl-PL"/>
          <w14:ligatures w14:val="none"/>
        </w:rPr>
        <w:t xml:space="preserve">określenia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zakresu</w:t>
      </w:r>
      <w:r w:rsidRPr="00A02858">
        <w:rPr>
          <w:rFonts w:ascii="Century Gothic" w:eastAsia="Times New Roman" w:hAnsi="Century Gothic" w:cs="Times New Roman"/>
          <w:spacing w:val="-2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raportu do Regionalnego Dyrektora Ochrony </w:t>
      </w:r>
      <w:r w:rsidRPr="00A02858">
        <w:rPr>
          <w:rFonts w:ascii="Century Gothic" w:eastAsia="Times New Roman" w:hAnsi="Century Gothic" w:cs="Times New Roman"/>
          <w:w w:val="107"/>
          <w:kern w:val="0"/>
          <w:sz w:val="21"/>
          <w:szCs w:val="21"/>
          <w:lang w:eastAsia="pl-PL"/>
          <w14:ligatures w14:val="none"/>
        </w:rPr>
        <w:t xml:space="preserve">Środowiska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w </w:t>
      </w:r>
      <w:r w:rsidRPr="00A02858">
        <w:rPr>
          <w:rFonts w:ascii="Century Gothic" w:eastAsia="Times New Roman" w:hAnsi="Century Gothic" w:cs="Times New Roman"/>
          <w:w w:val="104"/>
          <w:kern w:val="0"/>
          <w:sz w:val="21"/>
          <w:szCs w:val="21"/>
          <w:lang w:eastAsia="pl-PL"/>
          <w14:ligatures w14:val="none"/>
        </w:rPr>
        <w:t>Poznani</w:t>
      </w:r>
      <w:r w:rsidRPr="00A02858">
        <w:rPr>
          <w:rFonts w:ascii="Century Gothic" w:eastAsia="Times New Roman" w:hAnsi="Century Gothic" w:cs="Times New Roman"/>
          <w:spacing w:val="7"/>
          <w:w w:val="105"/>
          <w:kern w:val="0"/>
          <w:sz w:val="21"/>
          <w:szCs w:val="21"/>
          <w:lang w:eastAsia="pl-PL"/>
          <w14:ligatures w14:val="none"/>
        </w:rPr>
        <w:t>u</w:t>
      </w:r>
      <w:r w:rsidRPr="00A02858">
        <w:rPr>
          <w:rFonts w:ascii="Century Gothic" w:eastAsia="Times New Roman" w:hAnsi="Century Gothic" w:cs="Times New Roman"/>
          <w:w w:val="114"/>
          <w:kern w:val="0"/>
          <w:sz w:val="21"/>
          <w:szCs w:val="21"/>
          <w:lang w:eastAsia="pl-PL"/>
          <w14:ligatures w14:val="none"/>
        </w:rPr>
        <w:t xml:space="preserve">,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Państwowego  Powiatowego  Inspektora Sanitarnego w Gnieźnie oraz </w:t>
      </w: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>Dyrektora Zarządu Zlewni Wód Polskich w Poznaniu.</w:t>
      </w:r>
    </w:p>
    <w:p w14:paraId="00C06E8D" w14:textId="77777777" w:rsidR="00A02858" w:rsidRPr="00A02858" w:rsidRDefault="00A02858" w:rsidP="00A02858">
      <w:pPr>
        <w:numPr>
          <w:ilvl w:val="0"/>
          <w:numId w:val="5"/>
        </w:numPr>
        <w:spacing w:after="0" w:line="276" w:lineRule="auto"/>
        <w:ind w:left="714" w:hanging="357"/>
        <w:contextualSpacing/>
        <w:jc w:val="both"/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Dyrektor Zarządu Zlewni Wód Polskich w Poznaniu wydał Opinię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z</w:t>
      </w:r>
      <w:r w:rsidRPr="00A02858">
        <w:rPr>
          <w:rFonts w:ascii="Century Gothic" w:eastAsia="Times New Roman" w:hAnsi="Century Gothic" w:cs="Times New Roman"/>
          <w:color w:val="000000" w:themeColor="text1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dnia </w:t>
      </w:r>
      <w:r w:rsidRPr="00A02858">
        <w:rPr>
          <w:rFonts w:ascii="Century Gothic" w:eastAsia="Times New Roman" w:hAnsi="Century Gothic" w:cs="Times New Roman"/>
          <w:color w:val="000000" w:themeColor="text1"/>
          <w:spacing w:val="2"/>
          <w:kern w:val="0"/>
          <w:sz w:val="21"/>
          <w:szCs w:val="21"/>
          <w:lang w:eastAsia="pl-PL"/>
          <w14:ligatures w14:val="none"/>
        </w:rPr>
        <w:t>14 stycznia</w:t>
      </w:r>
      <w:r w:rsidRPr="00A02858">
        <w:rPr>
          <w:rFonts w:ascii="Century Gothic" w:eastAsia="Times New Roman" w:hAnsi="Century Gothic" w:cs="Times New Roman"/>
          <w:color w:val="000000" w:themeColor="text1"/>
          <w:spacing w:val="4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3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r.</w:t>
      </w:r>
      <w:r w:rsidRPr="00A02858">
        <w:rPr>
          <w:rFonts w:ascii="Century Gothic" w:eastAsia="Times New Roman" w:hAnsi="Century Gothic" w:cs="Times New Roman"/>
          <w:color w:val="000000" w:themeColor="text1"/>
          <w:spacing w:val="14"/>
          <w:kern w:val="0"/>
          <w:sz w:val="21"/>
          <w:szCs w:val="21"/>
          <w:lang w:eastAsia="pl-PL"/>
          <w14:ligatures w14:val="none"/>
        </w:rPr>
        <w:t xml:space="preserve"> nr </w:t>
      </w:r>
      <w:r w:rsidRPr="00A02858">
        <w:rPr>
          <w:rFonts w:ascii="Century Gothic" w:eastAsia="Times New Roman" w:hAnsi="Century Gothic" w:cs="Times New Roman"/>
          <w:color w:val="000000" w:themeColor="text1"/>
          <w:w w:val="105"/>
          <w:kern w:val="0"/>
          <w:sz w:val="21"/>
          <w:szCs w:val="21"/>
          <w:lang w:eastAsia="pl-PL"/>
          <w14:ligatures w14:val="none"/>
        </w:rPr>
        <w:t>PZ.ZZŚ.4901.7.2025.AR.1</w:t>
      </w:r>
      <w:r w:rsidRPr="00A02858">
        <w:rPr>
          <w:rFonts w:ascii="Century Gothic" w:eastAsia="Times New Roman" w:hAnsi="Century Gothic" w:cs="Times New Roman"/>
          <w:color w:val="000000" w:themeColor="text1"/>
          <w:spacing w:val="8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(data</w:t>
      </w:r>
      <w:r w:rsidRPr="00A02858">
        <w:rPr>
          <w:rFonts w:ascii="Century Gothic" w:eastAsia="Times New Roman" w:hAnsi="Century Gothic" w:cs="Times New Roman"/>
          <w:color w:val="000000" w:themeColor="text1"/>
          <w:spacing w:val="3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wpływu</w:t>
      </w:r>
      <w:r w:rsidRPr="00A02858">
        <w:rPr>
          <w:rFonts w:ascii="Century Gothic" w:eastAsia="Times New Roman" w:hAnsi="Century Gothic" w:cs="Times New Roman"/>
          <w:color w:val="000000" w:themeColor="text1"/>
          <w:spacing w:val="46"/>
          <w:kern w:val="0"/>
          <w:sz w:val="21"/>
          <w:szCs w:val="21"/>
          <w:lang w:eastAsia="pl-PL"/>
          <w14:ligatures w14:val="none"/>
        </w:rPr>
        <w:t xml:space="preserve"> 15.01.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4"/>
          <w:kern w:val="0"/>
          <w:sz w:val="21"/>
          <w:szCs w:val="21"/>
          <w:lang w:eastAsia="pl-PL"/>
          <w14:ligatures w14:val="none"/>
        </w:rPr>
        <w:t xml:space="preserve"> r</w:t>
      </w:r>
      <w:r w:rsidRPr="00A02858">
        <w:rPr>
          <w:rFonts w:ascii="Century Gothic" w:eastAsia="Times New Roman" w:hAnsi="Century Gothic" w:cs="Times New Roman"/>
          <w:color w:val="000000" w:themeColor="text1"/>
          <w:w w:val="103"/>
          <w:kern w:val="0"/>
          <w:sz w:val="21"/>
          <w:szCs w:val="21"/>
          <w:lang w:eastAsia="pl-PL"/>
          <w14:ligatures w14:val="none"/>
        </w:rPr>
        <w:t xml:space="preserve">.), </w:t>
      </w: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>w której nie stwierdził potrzeby przeprowadzania oceny oddziaływania przedmiotowego  przedsięwzięcia na środowisko.</w:t>
      </w:r>
    </w:p>
    <w:p w14:paraId="715DB69D" w14:textId="77777777" w:rsidR="00A02858" w:rsidRPr="00A02858" w:rsidRDefault="00A02858" w:rsidP="00A0285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w w:val="108"/>
          <w:kern w:val="0"/>
          <w:sz w:val="21"/>
          <w:szCs w:val="21"/>
          <w:lang w:eastAsia="pl-PL"/>
          <w14:ligatures w14:val="none"/>
        </w:rPr>
        <w:t>Państwowy Powiatowy Inspektor Sanitarny w Gnieźnie wydał Opinię sanitarną z dnia 22 stycznia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2025 r. znak </w:t>
      </w:r>
      <w:r w:rsidRPr="00A02858">
        <w:rPr>
          <w:rFonts w:ascii="Century Gothic" w:eastAsia="Times New Roman" w:hAnsi="Century Gothic" w:cs="Times New Roman"/>
          <w:w w:val="106"/>
          <w:kern w:val="0"/>
          <w:sz w:val="21"/>
          <w:szCs w:val="21"/>
          <w:lang w:eastAsia="pl-PL"/>
          <w14:ligatures w14:val="none"/>
        </w:rPr>
        <w:t>ON-NS.9022.5.1.2025</w:t>
      </w:r>
      <w:r w:rsidRPr="00A02858">
        <w:rPr>
          <w:rFonts w:ascii="Century Gothic" w:eastAsia="Times New Roman" w:hAnsi="Century Gothic" w:cs="Times New Roman"/>
          <w:spacing w:val="17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(data</w:t>
      </w:r>
      <w:r w:rsidRPr="00A02858">
        <w:rPr>
          <w:rFonts w:ascii="Century Gothic" w:eastAsia="Times New Roman" w:hAnsi="Century Gothic" w:cs="Times New Roman"/>
          <w:spacing w:val="2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wpływu</w:t>
      </w:r>
      <w:r w:rsidRPr="00A02858">
        <w:rPr>
          <w:rFonts w:ascii="Century Gothic" w:eastAsia="Times New Roman" w:hAnsi="Century Gothic" w:cs="Times New Roman"/>
          <w:spacing w:val="44"/>
          <w:kern w:val="0"/>
          <w:sz w:val="21"/>
          <w:szCs w:val="21"/>
          <w:lang w:eastAsia="pl-PL"/>
          <w14:ligatures w14:val="none"/>
        </w:rPr>
        <w:t xml:space="preserve"> 24.01.2025 r.</w:t>
      </w:r>
      <w:r w:rsidRPr="00A02858">
        <w:rPr>
          <w:rFonts w:ascii="Century Gothic" w:eastAsia="Times New Roman" w:hAnsi="Century Gothic" w:cs="Times New Roman"/>
          <w:w w:val="106"/>
          <w:kern w:val="0"/>
          <w:sz w:val="21"/>
          <w:szCs w:val="21"/>
          <w:lang w:eastAsia="pl-PL"/>
          <w14:ligatures w14:val="none"/>
        </w:rPr>
        <w:t xml:space="preserve">), </w:t>
      </w:r>
      <w:r w:rsidRPr="00A02858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>w której nie stwierdził potrzeby przeprowadzania oceny oddziaływania przedmiotowego  przedsięwzięcia na środowisko.</w:t>
      </w:r>
    </w:p>
    <w:p w14:paraId="3333A95C" w14:textId="77777777" w:rsidR="00A02858" w:rsidRPr="00A02858" w:rsidRDefault="00A02858" w:rsidP="00A02858">
      <w:pPr>
        <w:widowControl w:val="0"/>
        <w:numPr>
          <w:ilvl w:val="0"/>
          <w:numId w:val="5"/>
        </w:numPr>
        <w:spacing w:before="38" w:after="0" w:line="276" w:lineRule="auto"/>
        <w:ind w:right="133"/>
        <w:contextualSpacing/>
        <w:jc w:val="both"/>
        <w:rPr>
          <w:rFonts w:ascii="Century Gothic" w:eastAsia="Times New Roman" w:hAnsi="Century Gothic" w:cs="Times New Roman"/>
          <w:w w:val="108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Regionalny Dyrektor Ochrony Środowiska w Poznaniu </w:t>
      </w:r>
      <w:r w:rsidRPr="00A02858">
        <w:rPr>
          <w:rFonts w:ascii="Century Gothic" w:eastAsia="Times New Roman" w:hAnsi="Century Gothic" w:cs="Times New Roman"/>
          <w:w w:val="108"/>
          <w:kern w:val="0"/>
          <w:sz w:val="21"/>
          <w:szCs w:val="21"/>
          <w:lang w:eastAsia="pl-PL"/>
          <w14:ligatures w14:val="none"/>
        </w:rPr>
        <w:t xml:space="preserve">wydał Postanowienie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nr WOO-IV.4220.45.2025.AK.2. z dnia 7 lutego 2025 roku (data</w:t>
      </w:r>
      <w:r w:rsidRPr="00A02858">
        <w:rPr>
          <w:rFonts w:ascii="Century Gothic" w:eastAsia="Times New Roman" w:hAnsi="Century Gothic" w:cs="Times New Roman"/>
          <w:color w:val="000000" w:themeColor="text1"/>
          <w:spacing w:val="3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wpływu 10.02. 2025</w:t>
      </w:r>
      <w:r w:rsidRPr="00A02858">
        <w:rPr>
          <w:rFonts w:ascii="Century Gothic" w:eastAsia="Times New Roman" w:hAnsi="Century Gothic" w:cs="Times New Roman"/>
          <w:color w:val="000000" w:themeColor="text1"/>
          <w:spacing w:val="3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w w:val="108"/>
          <w:kern w:val="0"/>
          <w:sz w:val="21"/>
          <w:szCs w:val="21"/>
          <w:lang w:eastAsia="pl-PL"/>
          <w14:ligatures w14:val="none"/>
        </w:rPr>
        <w:t>r.),</w:t>
      </w:r>
      <w:r w:rsidRPr="00A02858">
        <w:rPr>
          <w:rFonts w:ascii="Century Gothic" w:eastAsia="Times New Roman" w:hAnsi="Century Gothic" w:cs="Times New Roman"/>
          <w:w w:val="108"/>
          <w:kern w:val="0"/>
          <w:sz w:val="21"/>
          <w:szCs w:val="21"/>
          <w:lang w:eastAsia="pl-PL"/>
          <w14:ligatures w14:val="none"/>
        </w:rPr>
        <w:t xml:space="preserve">w którym wyraził opinię, że dla przedmiotowego przedsięwzięcia istnieje potrzeba przeprowadzenia oceny oddziaływania planowanego przedsięwzięcia na środowisko, jednocześnie określając zakres raportu o oddziaływaniu na środowisko. </w:t>
      </w:r>
    </w:p>
    <w:p w14:paraId="5FF50B42" w14:textId="77777777" w:rsidR="00A02858" w:rsidRPr="00A02858" w:rsidRDefault="00A02858" w:rsidP="00A02858">
      <w:pPr>
        <w:widowControl w:val="0"/>
        <w:numPr>
          <w:ilvl w:val="0"/>
          <w:numId w:val="5"/>
        </w:numPr>
        <w:spacing w:before="38" w:after="0" w:line="276" w:lineRule="auto"/>
        <w:ind w:right="133"/>
        <w:contextualSpacing/>
        <w:jc w:val="both"/>
        <w:rPr>
          <w:rFonts w:ascii="Century Gothic" w:eastAsia="Times New Roman" w:hAnsi="Century Gothic" w:cs="Times New Roman"/>
          <w:w w:val="108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Wójt Gminy Gniezno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na podstawie wniosku, karty informacyjnej przedsięwzięcia, po uwzględnieniu stanowisk organów opiniujących oraz dokładnej analizie przesłanek, wynikających z art. 63 ust. 1 pkt 1-3 ustawy z dnia 3 października 2008 roku o udostępnianiu informacji o środowisku i jego ochronie, udziale społeczeństwa w ochronie środowiska oraz o ocenach oddziaływania na środowisko, a przede wszystkim takich cech przedsięwzięcia jak:</w:t>
      </w:r>
    </w:p>
    <w:p w14:paraId="56BDBED6" w14:textId="77777777" w:rsidR="00A02858" w:rsidRPr="00A02858" w:rsidRDefault="00A02858" w:rsidP="00A02858">
      <w:pPr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  <w:r w:rsidRPr="00A02858">
        <w:rPr>
          <w:rFonts w:ascii="Century Gothic" w:eastAsia="Times New Roman" w:hAnsi="Century Gothic" w:cs="Calibri"/>
          <w:b/>
          <w:i/>
          <w:kern w:val="0"/>
          <w:sz w:val="21"/>
          <w:szCs w:val="21"/>
          <w:lang w:eastAsia="pl-PL"/>
          <w14:ligatures w14:val="none"/>
        </w:rPr>
        <w:t xml:space="preserve">rodzaj i charakterystyka przedsięwzięcia </w:t>
      </w:r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 xml:space="preserve">(art. 63 ust. 1 pkt 1 ustawy </w:t>
      </w:r>
      <w:proofErr w:type="spellStart"/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ooś</w:t>
      </w:r>
      <w:proofErr w:type="spellEnd"/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)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- planowane przedsięwzięcie polegać będzie</w:t>
      </w:r>
      <w:r w:rsidRPr="00A02858">
        <w:rPr>
          <w:rFonts w:ascii="Century Gothic" w:hAnsi="Century Gothic"/>
          <w:sz w:val="21"/>
          <w:szCs w:val="21"/>
        </w:rPr>
        <w:t xml:space="preserve"> na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budowie Centrum Dystrybucyjnego wraz z niezbędną infrastrukturą towarzyszącą i komunikacyjną na działce o nr ewidencyjnym 283 w miejscowości Lulkowo, gmina Gniezno. Centrum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lastRenderedPageBreak/>
        <w:t xml:space="preserve">Dystrybucyjne wraz z niezbędną infrastrukturą towarzyszącą i komunikacyjną zajmie powierzchnię ok. 17,47 ha. W ramach tego przedsięwzięcia zaplanowano: </w:t>
      </w:r>
    </w:p>
    <w:p w14:paraId="484F0C1B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 xml:space="preserve">budowę hali magazynowej z dwoma częściami biurowo-socjalnymi oraz pomieszczeniem na </w:t>
      </w:r>
      <w:proofErr w:type="spellStart"/>
      <w:r w:rsidRPr="00A02858">
        <w:rPr>
          <w:rFonts w:ascii="Century Gothic" w:hAnsi="Century Gothic"/>
          <w:iCs/>
          <w:sz w:val="21"/>
          <w:szCs w:val="21"/>
        </w:rPr>
        <w:t>belownice</w:t>
      </w:r>
      <w:proofErr w:type="spellEnd"/>
      <w:r w:rsidRPr="00A02858">
        <w:rPr>
          <w:rFonts w:ascii="Century Gothic" w:hAnsi="Century Gothic"/>
          <w:iCs/>
          <w:sz w:val="21"/>
          <w:szCs w:val="21"/>
        </w:rPr>
        <w:t>,</w:t>
      </w:r>
    </w:p>
    <w:p w14:paraId="1B904506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budowę portierni,</w:t>
      </w:r>
    </w:p>
    <w:p w14:paraId="08B4A929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 xml:space="preserve">budowę pompowni ppoż. wraz ze zbiornikiem wody, </w:t>
      </w:r>
    </w:p>
    <w:p w14:paraId="15CA434B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montaż agregatów  prądotwórczych (fundamenty),</w:t>
      </w:r>
    </w:p>
    <w:p w14:paraId="0B844CF8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wykonanie placu opakowań wraz ze ścianami osłonowymi oraz wiatą magazynową,</w:t>
      </w:r>
    </w:p>
    <w:p w14:paraId="6D898CD3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budowa wiaty rowerowej,</w:t>
      </w:r>
    </w:p>
    <w:p w14:paraId="50EC6679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montaż wagi pomostowej,</w:t>
      </w:r>
    </w:p>
    <w:p w14:paraId="1824187C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montaż instalacji zbiornikowej LNG lub LPG,</w:t>
      </w:r>
    </w:p>
    <w:p w14:paraId="3BCC0F6F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budowa zbiornika retencyjnego,</w:t>
      </w:r>
    </w:p>
    <w:p w14:paraId="1E78EC9E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wykonanie powierzchni utwardzonych,</w:t>
      </w:r>
    </w:p>
    <w:p w14:paraId="201A3454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wykonanie placów manewrowych,</w:t>
      </w:r>
    </w:p>
    <w:p w14:paraId="28564692" w14:textId="77777777" w:rsidR="00A02858" w:rsidRPr="00A02858" w:rsidRDefault="00A02858" w:rsidP="00A02858">
      <w:pPr>
        <w:spacing w:after="0" w:line="276" w:lineRule="auto"/>
        <w:ind w:left="720"/>
        <w:jc w:val="both"/>
        <w:rPr>
          <w:rFonts w:ascii="Century Gothic" w:hAnsi="Century Gothic"/>
          <w:iCs/>
          <w:sz w:val="21"/>
          <w:szCs w:val="21"/>
        </w:rPr>
      </w:pPr>
      <w:r w:rsidRPr="00A02858">
        <w:rPr>
          <w:rFonts w:ascii="Century Gothic" w:hAnsi="Century Gothic"/>
          <w:iCs/>
          <w:sz w:val="21"/>
          <w:szCs w:val="21"/>
        </w:rPr>
        <w:t>•</w:t>
      </w:r>
      <w:r w:rsidRPr="00A02858">
        <w:rPr>
          <w:rFonts w:ascii="Century Gothic" w:hAnsi="Century Gothic"/>
          <w:iCs/>
          <w:sz w:val="21"/>
          <w:szCs w:val="21"/>
        </w:rPr>
        <w:tab/>
        <w:t>budowa parkingów i doków.</w:t>
      </w:r>
    </w:p>
    <w:p w14:paraId="10DE1088" w14:textId="77777777" w:rsidR="00A02858" w:rsidRPr="00A02858" w:rsidRDefault="00A02858" w:rsidP="00A02858">
      <w:pPr>
        <w:spacing w:after="0" w:line="276" w:lineRule="auto"/>
        <w:ind w:left="708" w:firstLine="708"/>
        <w:jc w:val="both"/>
        <w:rPr>
          <w:rFonts w:ascii="Century Gothic" w:eastAsia="Calibri" w:hAnsi="Century Gothic" w:cs="Arial"/>
          <w:color w:val="000000"/>
          <w:kern w:val="0"/>
          <w:sz w:val="21"/>
          <w:szCs w:val="21"/>
        </w:rPr>
      </w:pPr>
      <w:r w:rsidRPr="00A02858">
        <w:rPr>
          <w:rFonts w:ascii="Century Gothic" w:eastAsia="Calibri" w:hAnsi="Century Gothic" w:cs="Times New Roman"/>
          <w:sz w:val="21"/>
          <w:szCs w:val="21"/>
        </w:rPr>
        <w:t>W obrębie planowanej inwestycji projektowane są wyłącznie naziemne miejsca parkingowe. Sumaryczna powierzchnia użytkowa parkingów samochodowych wraz z towarzyszącą im infrastruktura wynosić będzie około 6,90 ha, przy czym powierzchnia samych parkingów to około1,15 ha.</w:t>
      </w:r>
      <w:r w:rsidRPr="00A02858">
        <w:rPr>
          <w:rFonts w:ascii="Century Gothic" w:eastAsia="Calibri" w:hAnsi="Century Gothic" w:cs="Arial"/>
          <w:color w:val="000000"/>
          <w:kern w:val="0"/>
          <w:sz w:val="21"/>
          <w:szCs w:val="21"/>
        </w:rPr>
        <w:t xml:space="preserve"> </w:t>
      </w:r>
      <w:r w:rsidRPr="00A02858">
        <w:rPr>
          <w:rFonts w:ascii="Century Gothic" w:eastAsia="Calibri" w:hAnsi="Century Gothic" w:cs="Times New Roman"/>
          <w:sz w:val="21"/>
          <w:szCs w:val="21"/>
        </w:rPr>
        <w:t>Długość dróg na terenie inwestycji będzie wynosić około 2,2 km.</w:t>
      </w:r>
      <w:r w:rsidRPr="00A02858">
        <w:rPr>
          <w:rFonts w:ascii="Century Gothic" w:eastAsia="Calibri" w:hAnsi="Century Gothic" w:cs="Arial"/>
          <w:color w:val="000000"/>
          <w:kern w:val="0"/>
          <w:sz w:val="21"/>
          <w:szCs w:val="21"/>
        </w:rPr>
        <w:t xml:space="preserve"> Na terenie planowanego przedsięwzięcia realizowane będą usługi logistyczne związane z przyjmowaniem, magazynowaniem, rozdziałem i wydawaniem towarów oraz usługami towarzyszącymi. </w:t>
      </w:r>
    </w:p>
    <w:p w14:paraId="322CDB71" w14:textId="77777777" w:rsidR="00A02858" w:rsidRPr="00A02858" w:rsidRDefault="00A02858" w:rsidP="00A02858">
      <w:pPr>
        <w:spacing w:after="0" w:line="276" w:lineRule="auto"/>
        <w:ind w:left="708"/>
        <w:jc w:val="both"/>
        <w:rPr>
          <w:rFonts w:ascii="Century Gothic" w:eastAsia="Calibri" w:hAnsi="Century Gothic" w:cs="Arial"/>
          <w:color w:val="000000"/>
          <w:kern w:val="0"/>
          <w:sz w:val="21"/>
          <w:szCs w:val="21"/>
        </w:rPr>
      </w:pPr>
      <w:r w:rsidRPr="00A02858">
        <w:rPr>
          <w:rFonts w:ascii="Century Gothic" w:eastAsia="Calibri" w:hAnsi="Century Gothic" w:cs="Arial"/>
          <w:color w:val="000000"/>
          <w:kern w:val="0"/>
          <w:sz w:val="21"/>
          <w:szCs w:val="21"/>
        </w:rPr>
        <w:t xml:space="preserve">Inwestycja ma na celu prowadzenie działalności dystrybucyjnej skierowanej do odbiorców sieci sprzedaży detalicznej — markety własnej sieci DINO oraz do odbiorców hurtowych. </w:t>
      </w:r>
    </w:p>
    <w:p w14:paraId="7DEB5411" w14:textId="77777777" w:rsidR="00A02858" w:rsidRPr="00A02858" w:rsidRDefault="00A02858" w:rsidP="00A02858">
      <w:pPr>
        <w:spacing w:after="0" w:line="276" w:lineRule="auto"/>
        <w:ind w:left="708" w:firstLine="708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A02858">
        <w:rPr>
          <w:rFonts w:ascii="Century Gothic" w:eastAsia="Calibri" w:hAnsi="Century Gothic" w:cs="Arial"/>
          <w:color w:val="000000"/>
          <w:kern w:val="0"/>
          <w:sz w:val="21"/>
          <w:szCs w:val="21"/>
        </w:rPr>
        <w:t xml:space="preserve">W obiekcie centrum dystrybucyjnego od pojedynczych producentów dostarczane będą produkty z sektorów spożywczych (artykuły wielobranżowe, nabiał, owoce, warzywa, mięso) oraz artykuły przemysłowe (chemia gospodarcza, akcesoria i kosmetyki samochodowe).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Produkty przywożone samochodami ciężarowymi i dostawczymi dostarczane będą do doków rozładowujących, następnie będą rozdzielane i składowane w budynku centrum w zależności od ich przeznaczenia. Następnie dystrybucja polegała będzie na przygotowaniu odpowiedniej partii produktów i umieszczeniu w części załadowczej skąd będą odbierane samochodami ciężarowymi dostawczymi. Obiekt z dwóch stron wyposażony będzie w bramy dokujące dla samochodów ciężarowych i samochodów dostawczych. Obsługa hali będzie sprawowana przez pracowników, którzy przy użyciu wózków paletowych/widłowych będą rozładowywać i załadowywać dostarczane artykuły.</w:t>
      </w:r>
    </w:p>
    <w:p w14:paraId="4804FE18" w14:textId="77777777" w:rsidR="00A02858" w:rsidRPr="00A02858" w:rsidRDefault="00A02858" w:rsidP="00A02858">
      <w:pPr>
        <w:spacing w:after="0" w:line="276" w:lineRule="auto"/>
        <w:ind w:left="708" w:firstLine="708"/>
        <w:contextualSpacing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A02858">
        <w:rPr>
          <w:rFonts w:ascii="Century Gothic" w:eastAsia="Calibri" w:hAnsi="Century Gothic" w:cs="Times New Roman"/>
          <w:sz w:val="21"/>
          <w:szCs w:val="21"/>
        </w:rPr>
        <w:t>Centrum Dystrybucyjne funkcjonować będzie 24h/dobę, siedem dni w tygodniu w systemie 3 zmianowym, przez cały rok. Przewiduje się zatrudnienie na poziomie ok. 640 pracowników. Na terenie planowanej inwestycji w stanie docelowym poruszać się będą pojazdy osobowe, oraz pojazdy ciężarowe. Przewiduje się, że w stanie docelowym natężenie ruchu kształtować się będzie na poziomie:</w:t>
      </w:r>
    </w:p>
    <w:p w14:paraId="0294CA8B" w14:textId="77777777" w:rsidR="00A02858" w:rsidRPr="00A02858" w:rsidRDefault="00A02858" w:rsidP="00A02858">
      <w:pPr>
        <w:spacing w:after="0" w:line="276" w:lineRule="auto"/>
        <w:ind w:firstLine="708"/>
        <w:contextualSpacing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A02858">
        <w:rPr>
          <w:rFonts w:ascii="Century Gothic" w:eastAsia="Calibri" w:hAnsi="Century Gothic" w:cs="Times New Roman"/>
          <w:sz w:val="21"/>
          <w:szCs w:val="21"/>
        </w:rPr>
        <w:t>• około 708 pojazdów osobowych na dobę,</w:t>
      </w:r>
    </w:p>
    <w:p w14:paraId="212AF896" w14:textId="77777777" w:rsidR="00A02858" w:rsidRPr="00A02858" w:rsidRDefault="00A02858" w:rsidP="00A02858">
      <w:pPr>
        <w:spacing w:after="0" w:line="276" w:lineRule="auto"/>
        <w:ind w:firstLine="708"/>
        <w:contextualSpacing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A02858">
        <w:rPr>
          <w:rFonts w:ascii="Century Gothic" w:eastAsia="Calibri" w:hAnsi="Century Gothic" w:cs="Times New Roman"/>
          <w:sz w:val="21"/>
          <w:szCs w:val="21"/>
        </w:rPr>
        <w:lastRenderedPageBreak/>
        <w:t>• około 500 pojazdów ciężarowych na dobę.</w:t>
      </w:r>
    </w:p>
    <w:p w14:paraId="088F4DEB" w14:textId="77777777" w:rsidR="00A02858" w:rsidRPr="00A02858" w:rsidRDefault="00A02858" w:rsidP="00A02858">
      <w:pPr>
        <w:numPr>
          <w:ilvl w:val="0"/>
          <w:numId w:val="9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Calibri"/>
          <w:b/>
          <w:i/>
          <w:kern w:val="0"/>
          <w:sz w:val="21"/>
          <w:szCs w:val="21"/>
          <w:lang w:eastAsia="pl-PL"/>
          <w14:ligatures w14:val="none"/>
        </w:rPr>
        <w:t>usytuowanie przedsięwzięcia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 xml:space="preserve">(art. 63 ust. 1 pkt 2 ustawy </w:t>
      </w:r>
      <w:proofErr w:type="spellStart"/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ooś</w:t>
      </w:r>
      <w:proofErr w:type="spellEnd"/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)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– planowane przedsięwzięcie usytuowane będzie na działce o numerze ewidencyjnym 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283, 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położonej w miejscowości Lulkowo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, Gmina Gniezno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, na gruncie ornym na którym znajdują się 2 płaty </w:t>
      </w:r>
      <w:proofErr w:type="spellStart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zadrzewień</w:t>
      </w:r>
      <w:proofErr w:type="spellEnd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śródpolnych, w tym jedno ze zbiornikiem wodnym. W ramach inwestycji planowana jest wycinka drzew i krzewów. Z przedłożonej dokumentacji wynika, że zlikwidowany zostanie również zbiornik wodny. W otoczeniu przedsięwzięcia znajdują się grunty orne, las, drogi, zabudowa zagrodowa oraz (w odległości do 1 km) zbiorniki wodne. W odległości 1 km jest zlokalizowane Jezioro Jankowskie, a w odległości 1,8 km Jezioro </w:t>
      </w:r>
      <w:proofErr w:type="spellStart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Wierzbiczańskie</w:t>
      </w:r>
      <w:proofErr w:type="spellEnd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. W </w:t>
      </w:r>
      <w:proofErr w:type="spellStart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k.i.p</w:t>
      </w:r>
      <w:proofErr w:type="spellEnd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. nie przedstawiono wyników obserwacji przyrodniczych, nie przedłożono dokumentacji fotograficznej analizowanego terenu, ani też nie przedłożono wyników inwentaryzacji drzew i krzewów przeznaczonych do wycinki.</w:t>
      </w:r>
    </w:p>
    <w:p w14:paraId="7CACD60F" w14:textId="77777777" w:rsidR="00A02858" w:rsidRPr="00A02858" w:rsidRDefault="00A02858" w:rsidP="00A02858">
      <w:pPr>
        <w:spacing w:after="0" w:line="276" w:lineRule="auto"/>
        <w:ind w:left="708" w:firstLine="708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Arial"/>
          <w:bCs/>
          <w:kern w:val="0"/>
          <w:sz w:val="21"/>
          <w:szCs w:val="21"/>
          <w14:ligatures w14:val="none"/>
        </w:rPr>
        <w:t xml:space="preserve">Teren przeznaczony pod budowę centrum dystrybucyjnego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zlokalizowany jest poza obszarami chronionymi na podstawie ustawy z dnia 16 kwietnia 2004 r. o ochronie przyrody (Dz. U. z 2024 r. poz. 1478, z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późn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zm.). Najbliżej położonym obszarem Natura 2000 jest specjalny obszar ochrony siedlisk Pojezierze Gnieźnieńskie PLH300026, oddalony o 1,4 km od miejsca realizacji przedsięwzięcia. Ponadto analizowana działka położona jest na ponadregionalnym korytarzu ekologicznym KPnC-7F „Pojezierze Krajeńskie — południe” oraz w bezpośrednim sąsiedztwie obszaru ważnego dla ptaków „Jezioro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Wierzbiczanskie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” wyznaczonym na podstawie opracowania przygotowanego przez Przemysława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Wylegałę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, Stanisława Kuźniaka oraz Pawła T. Dolatę „Obszary ważne dla ptaków w okresie gniazdowania oraz migracji na terenie województwa wielkopolskiego” zleconego przez Wielkopolskie Biuro Planowania Przestrzennego (Poznań 2008).</w:t>
      </w:r>
    </w:p>
    <w:p w14:paraId="0D9CE54E" w14:textId="77777777" w:rsidR="00A02858" w:rsidRPr="00A02858" w:rsidRDefault="00A02858" w:rsidP="00A02858">
      <w:pPr>
        <w:spacing w:after="0" w:line="276" w:lineRule="auto"/>
        <w:ind w:left="708" w:firstLine="708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W swoim Postanowieniu o konieczności przeprowadzenia oceny oddziaływania na środowisko i sporządzenia raportu, Regionalny Dyrektor Ochrony Środowiska zwrócił uwagę, że nawet znaczne powierzchnie monokultur rolnych mogą stanowić siedliska rzadkich i objętych ochroną gatunkową ptaków, a także roślin — rzadkich i ginących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archeofitów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W związku z powyższym w raporcie powinny się znaleźć aktualne informacje na temat szaty roślinnej oraz fauny, w szczególności gatunków rzadkich i zagrożonych wyginięciem oraz chronionych roślin, grzybów i zwierząt, w tym ptaków lęgowych i płazów. W przypadku ptaków inwentaryzację należy przeprowadzić zarówno na terenie przedsięwzięcia, jak i w 100 m strefie buforowej ze wskazaniem gatunków oraz kategorii lęgowych ptaków, a w przypadku ptaków migrujących i zimujących należy wskazać ważniejsze w okolicy miejsca koncentracji gęsi, żurawi i ptaków siewkowatych. Należy także zinwentaryzować organizmy wodne w zbiorniku wodnym. W raporcie należy ocenić wpływ przedsięwzięcia na poszczególne stwierdzone grupy organizmów, należy wskazać liczbę, gatunek oraz wymiary drzew i krzewów przeznaczonych do wycinki, niezależnie od tego czy na wycinkę jest wymagane zezwolenie oraz wskazać te z drzew i krzewów, na których stwierdzono obecność gniazd ptaków, dziupli oraz chronionych, rzadkich i zagrożonych wyginięciem gatunków mchów, wątrobowców i porostów. Należy także przedstawić propozycje działań minimalizujących potencjalne negatywne oddziaływanie na poszczególne stwierdzone grupy organizmów. W związku z likwidacją zbiornika wodnego należy m. in. przedstawić propozycje odłowu płazów, wskazanie miejsca, w które zostaną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lastRenderedPageBreak/>
        <w:t xml:space="preserve">one przeniesione oraz należy uwzględnić wykonanie siedliska zastępczego dla płazów. W związku z planowaną budową zbiornika retencyjnego należy uwzględnić działania uniemożliwiające dostanie się zwierząt do tego zbiornika lub zaprojektowanie zbiornika w sposób umożliwiający zwierzętom, które w sposób przypadkowy mogą się do niego dostać, swobodne wydostanie się. Należy także przedłożyć propozycje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nasadzeń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minimalizujących straty przyrodnicze, w tym wskazać liczbę, gatunek oraz miejsce planowanych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nasadzeń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W związku z tym, że planowane do wycinki drzewa mają charakter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zadrzewień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śródpolnych, również planowane nasadzenia powinny być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zadrzewieniami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śródpolnymi, aby mogły pełnić funkcje ekologiczne, jak drzewostany wycinane. Raport powinien także zawierać analizę wpływu przedsięwzięcia na krajobraz, w tym na jego elementy o znaczeniu kulturowym, historycznym i archeologicznym z przewidzianymi działaniami minimalizującymi. Działaniami ograniczającymi oddziaływanie na krajobraz mogą być np. wykonanie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nasadzeń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osłonowo-izolacyjnych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od strony najbliższej zabudowy czy stonowana kolorystyka obiektów budowlanych.</w:t>
      </w:r>
    </w:p>
    <w:p w14:paraId="57158B85" w14:textId="77777777" w:rsidR="00A02858" w:rsidRPr="00A02858" w:rsidRDefault="00A02858" w:rsidP="00A02858">
      <w:pPr>
        <w:numPr>
          <w:ilvl w:val="0"/>
          <w:numId w:val="9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A02858">
        <w:rPr>
          <w:rFonts w:ascii="Century Gothic" w:eastAsia="Times New Roman" w:hAnsi="Century Gothic" w:cs="Calibri"/>
          <w:b/>
          <w:i/>
          <w:kern w:val="0"/>
          <w:sz w:val="21"/>
          <w:szCs w:val="21"/>
          <w:lang w:eastAsia="pl-PL"/>
          <w14:ligatures w14:val="none"/>
        </w:rPr>
        <w:t>rodzaj i skala możliwego oddziaływania przedsięwzięcia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 xml:space="preserve">(art. 63 ust. 1 pkt 3 ustawy </w:t>
      </w:r>
      <w:proofErr w:type="spellStart"/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ooś</w:t>
      </w:r>
      <w:proofErr w:type="spellEnd"/>
      <w:r w:rsidRPr="00A02858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)</w:t>
      </w:r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– planowane przedsięwzięcie zgodnie z informacjami zawartymi w </w:t>
      </w:r>
      <w:proofErr w:type="spellStart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k.i.p</w:t>
      </w:r>
      <w:proofErr w:type="spellEnd"/>
      <w:r w:rsidRPr="00A02858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na etapie eksploatacji będzie źródłem emisji hałasu do środowiska przez całą dobę, we wszystkie dni tygodnia. W związku z powyższym należy uznać, że oddziaływanie akustyczne przedmiotowego przedsięwzięcia będzie miało charakter ciągły. Ze względu na charakter i skalę przedsięwzięcia oraz obecne zagospodarowanie terenu jako grunt orny,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należy uznać, że funkcjonowanie centrum dystrybucyjnego będzie się wiązało ze znaczącymi zmianami aktualnego klimatu akustycznego rozpatrywanej okolicy. Głównymi źródłami emisji hałasu do środowiska z analizowanego terenu będą: wentylatory wywiewne, czerpnie ścienne, wyrzutnie ścienne i dachowe, centrale wentylacyjne, klimatyzatory, urządzenia chłodnicze, agregaty chłodnicze i wyrzutnie ze stacji ładowania, eksploatowane zarówno w porze dnia, jak i w porze nocy oraz ruch pojazdów ciężkich, dostawczych i lekkich po terenie zakładu odbywający się również w ww. przedziale czasowym. Na podstawie przedłożonej dokumentacji oraz ogólnodostępnych danych przestrzennych ustalono, że najbliższe tereny wymagające ochrony akustycznej zgodnie z rozporządzeniem Ministra Środowiska z dnia 14 czerwca 2007 r. w sprawie dopuszczalnych poziomów hałasu w środowisku (Dz. U. z 2014 r. poz. 112) znajdują się w bliskiej odległości od granic terenu przedsięwzięcia (od strony południowej i południowo-wschodniej) i zaliczają się do terenów zabudowy zagrodowej, dla których dopuszczalny poziom hałasu w porze dnia wynosi 55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dB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, a w porze nocy 45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dB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.</w:t>
      </w:r>
    </w:p>
    <w:p w14:paraId="70965145" w14:textId="77777777" w:rsidR="00A02858" w:rsidRPr="00A02858" w:rsidRDefault="00A02858" w:rsidP="00A02858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858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Dla przyjętych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parametrów pracy przedsięwzięcia została w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k.i.p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przeprowadzona analiza akustyczna w programie modelującym rozprzestrzenianie się dźwięku. Wyniki tej analizy zostały przedstawione w formie załącznika graficznego obrazującego rozkład izofon dla pory dnia i dla pory nocy. Przedmiotowa analiza wykazała brak przekroczeń dopuszczalnych poziomów hałasu na granicy najbliższych terenów chronionych akustycznie. Jednakże podkreślenia w tym miejscu wymaga fakt, że wartość uzyskana w 2 punktach pomiarowych wyznaczonym na granicy najbliższych terenów zabudowy zagrodowej (punkt POI i punkt P02) w porze nocy wyniosła 43,4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dB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i 43,7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dB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, przy wartości dopuszczalnej 45 </w:t>
      </w:r>
      <w:proofErr w:type="spellStart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dB</w:t>
      </w:r>
      <w:proofErr w:type="spellEnd"/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Kwestią kluczową w rozpatrywanym przypadku jest to, że analiza akustyczna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lastRenderedPageBreak/>
        <w:t>została wykonana dla ściśle określonych założeń technicznych i technologicznych, tj. liczby, lokalizacji i parametrów technologicznych i akustycznych źródeł emisji hałasu. Po zapoznaniu się z przedłożonymi materiałami ustalono, że w analizie akustycznej wykonanej dla planowanego przedsięwzięcia uwzględniono ruch pojazdów ciężkich po jego terenie, natomiast nie uwzględniono manewrów tych pojazdów w okolicy doków rozładowujących oraz miejsc parkingowych im dedykowanym, które zaplanowano od strony południowej i południowo-wschodniej — od strony zabudowy zagrodowej. W swoim Postanowieniu Regionalny Dyrektor Ochrony Środowiska uznał, że na podstawie posiadanych obecnie informacji brak jest pewności co do tego czy funkcjonowanie przedsięwzięcia w takim kształcie nie będzie powodowało przekroczeń dopuszczalnych poziomów hałasu na granicy najbliższych terenów chronionych akustycznie. Przy uwzględnieniu w analizie kwestii związanych z manewrami pojazdów ciężkich, o których wyżej mowa, nie można wykluczyć, że w punktach wyznaczonych na granicy najbliższych terenów chronionych akustycznie wystąpią przekroczenia dopuszczalnych poziomów hałasu określonych dla zabudowy zagrodowej. Uwzględniając zatem dużą skalę przedsięwzięcia, charakter jego funkcjonowania (24 godziny na dobę przez 7 dni w tygodniu), bliskość terenów chronionych akustycznie, planowane liczne urządzenia stanowiące punktowe, zewnętrzne źródła hałasu i znaczne natężenie ruchu pojazdów, określone docelowo na ok. 500 pojazdów ciężkich dojeżdżających do bram i doków rozładowujących na dobę oraz ok. 708 pojazdów osobowych dojeżdżających na miejsca parkingowe na dobę, istnieje konieczność przeprowadzenia szczegółowej analizy zagadnień związanych z emisją hałasu do środowiska, a co za tym idzie potrzeba przeprowadzenia oceny oddziaływania na środowisko. Przeprowadzona ocena oddziaływania na środowisko w zakresie emisji hałasu wykaże, czy po zrealizowaniu planowanego przedsięwzięcia na granicy najbliższych terenów wymagających ochrony akustycznej zostaną dotrzymane obowiązujące wymagania odnośnie dopuszczalnych poziomów hałasu i pozwoli na wskazanie warunków eksploatacji przedsięwzięcia oraz działań ograniczających uciążliwości dla terenów sąsiednich. W celu dotrzymania dopuszczalnych poziomów hałasu konieczne będzie zatem określenie konkretnych rozwiązań technicznych i organizacyjnych na terenie rozpatrywanego centrum.</w:t>
      </w:r>
      <w:r w:rsidRPr="00A028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Dotrzymanie dopuszczalnych poziomów hałasu w środowisku w związku z eksploatacją obiektu będzie natomiast uzależnione od spełnienia określonych warunków realizacji przedsięwzięcia. Analiza raportu o oddziaływaniu na środowisko przedstawiającego w sposób szczegółowy charakterystykę przedsięwzięcia i warunki użytkowania terenu w fazie jego eksploatacji oraz przewidywane rodzaje i wielkości emisji wynikających z funkcjonowania przedsięwzięcia, umożliwi określenie wpływu przedsięwzięcia na środowisko. Przeprowadzenie procedury oceny oddziaływania planowanego przedsięwzięcia w zakresie wpływu na akustyczny stan środowiska zgodnie z zakresem nałożonym w opinii RDOŚ i niniejszym Postanowieniu, pozwoli na zajęcie stanowiska czy planowane przedsięwzięcie będzie spełniać wymagania prawne w zakresie dopuszczalnych poziomów hałasu w środowisku na granicy terenów wymagających ochrony przed hałasem zgodnie z rozporządzeniem w sprawie dopuszczalnych poziomów hałasu w środowisku oraz pozwoli na wskazanie rozwiązań możliwych do wdrożenia na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lastRenderedPageBreak/>
        <w:t>etapie eksploatacji, mających na celu obniżenie presji ze strony przedsięwzięcia na akustyczny stan jakości środowiska. W związku z powyższym szczególną uwagę należy zwrócić na zinwentaryzowanie wszystkich planowanych źródeł hałasu na terenie planowanego centrum dystrybucyjnego (również na czytelnym załączniku graficznym) wraz z podaniem ich poziomów mocy akustycznych (dołączenie DTR lub danych producenta wszystkich urządzeń celem weryfikacji wartości przyjętych do obliczeń w programie modelującym rozprzestrzenianie się hałasu w środowisku) i określeniem czasu pracy w ciągu 8 najbardziej niekorzystnych godzin pory dnia i jednej najbardziej niekorzystnej godziny pory nocy. Do raportu należy także przedłożyć załącznik graficzny opatrzony legendą, na którym zostanie przedstawiony przebieg wszystkich tras, po których będą się poruszać pojazdy ciężkie w obrębie przedsięwzięcia (z oznaczeniem poszczególnych tras) oraz na którym zostaną wskazane miejsca wykonywania manewrów pojazdów ciężkich w obrębie miejsc parkingowych i doków rozładowujących. Kolejną kluczową kwestią jest określenie oddziaływania planowanego przedsięwzięcia na środowisko w postaci czytelnych map z izoliniami poziomu dźwięku odpowiadającymi dopuszczalnym poziomom hałasu, zgodnie z rozporządzeniem w sprawie dopuszczalnych poziomów hałasu w środowisku, zróżnicowanych ze względu na rodzaj terenu. Ponadto na mapach akustycznych należy przedstawić: lokalizację granic terenów wymagających ochrony akustycznej (z uwzględnieniem faktycznego zagospodarowania i przeznaczenia terenów w miejscowym planie zagospodarowania przestrzennego), budynki mieszkalne lub o innej funkcji wymagającej ochrony akustycznej oraz pozostałe budynki, a także lokalizację punktów obliczeniowych (na granicy terenów chronionych oraz przed elewacją budynków). W obliczeniach należy uwzględnić wysokość, na której wyznaczono izolinie oraz punkty obliczeniowe, w zależności od ich lokalizacji. W celu potwierdzenia wykonanych analiz i weryfikacji uzyskanych wyników zobowiązano wnioskodawcę do dołączenia wydruków komputerowych zawierających pełne dane wejściowe do programu modelującego rozprzestrzenianie się hałasu w środowisku. Przeprowadzona symulacja powinna zostać wykonana zgodnie z obowiązującymi przepisami prawa krajowego i unijnego przy zastosowaniu rekomendowanego programu do obliczeń rozprzestrzeniania hałasu w środowisku. W przypadku wystąpienia przekroczeń akustycznych standardów jakości środowiska należy określić i wskazać środki organizacyjne, techniczne lub technologiczne ograniczające emisję hałasu (na przykład w przypadku barier obudów ograniczających emisję hałasu należy podać informacje na temat: długości i wysokości oraz konstrukcji wykonania, rodzaju materiału z jakiego zostanie wykonana, a także skuteczność w zakresie obniżania hałasu). W przypadku przekroczenia standardów jakości środowiska ocenie poddane zostaną działania, które wnioskodawca podejmie w celu ograniczenia ponadnormatywnej emisji hałasu oraz określona zostanie ich skuteczność, a także ewentualna konieczność wykonania kontrolnych pomiarów hałasu.</w:t>
      </w:r>
    </w:p>
    <w:p w14:paraId="51B8A9BE" w14:textId="77777777" w:rsidR="00A02858" w:rsidRPr="00A02858" w:rsidRDefault="00A02858" w:rsidP="00A02858">
      <w:pPr>
        <w:spacing w:after="0" w:line="276" w:lineRule="auto"/>
        <w:ind w:left="720" w:firstLine="696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A02858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uznał,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w w:val="104"/>
          <w:kern w:val="0"/>
          <w:sz w:val="21"/>
          <w:szCs w:val="21"/>
          <w:lang w:eastAsia="pl-PL"/>
          <w14:ligatures w14:val="none"/>
        </w:rPr>
        <w:t xml:space="preserve">że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w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spacing w:val="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celu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spacing w:val="1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rzetelnej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spacing w:val="36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oceny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spacing w:val="29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w w:val="105"/>
          <w:kern w:val="0"/>
          <w:sz w:val="21"/>
          <w:szCs w:val="21"/>
          <w:lang w:eastAsia="pl-PL"/>
          <w14:ligatures w14:val="none"/>
        </w:rPr>
        <w:t>oddziaływania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spacing w:val="11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planowanego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spacing w:val="55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w w:val="106"/>
          <w:kern w:val="0"/>
          <w:sz w:val="21"/>
          <w:szCs w:val="21"/>
          <w:lang w:eastAsia="pl-PL"/>
          <w14:ligatures w14:val="none"/>
        </w:rPr>
        <w:t xml:space="preserve">przedsięwzięcia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na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spacing w:val="11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środowisko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konieczne jest przeprowadzenie oceny oddziaływania planowanego przedsięwzięcia na środowisko i określił zakres raportu, który winien w całości uwzględniać wymogi art. 66 ustawy z dnia 3 października 2008 r. o udostępnianiu informacji o środowisku i jego ochronie, udziale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lastRenderedPageBreak/>
        <w:t>społeczeństwa w ochronie środowiska oraz o ocenach oddziaływania na środowisko oraz zawierać szczegółową analizę zagadnień wskazanych w Postanowieniu Regionalnego Dyrektora Ochrony Środowiska w Poznaniu nr WOO-IV.4220.45.2025.AK.2 z dnia 7 lutego 2025 roku.</w:t>
      </w:r>
    </w:p>
    <w:p w14:paraId="3454CA98" w14:textId="77777777" w:rsidR="00A02858" w:rsidRPr="00A02858" w:rsidRDefault="00A02858" w:rsidP="00A02858">
      <w:pPr>
        <w:widowControl w:val="0"/>
        <w:numPr>
          <w:ilvl w:val="0"/>
          <w:numId w:val="5"/>
        </w:numPr>
        <w:spacing w:after="0" w:line="276" w:lineRule="auto"/>
        <w:ind w:right="133"/>
        <w:contextualSpacing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Zarówno Dyrektor Zarządu Zlewni Wód Polskich w Poznaniu jak i Państwowy Powiatowy Inspektor Sanitarny w Gnieźnie w swoich opiniach uznali, że nie ma potrzeby  przeprowadzenia oceny oddziaływania na środowisko planowanego przedsięwzięcia. Regionalny Dyrektor Ochrony Środowiska w Poznaniu  uznał natomiast, że istnieje potrzeba  przeprowadzenia oceny oddziaływania na środowisko dla planowanego przedsięwzięcia. W gestii pierwszego z ww. organów opiniujących  jest zbadanie wpływu przedsięwzięcia na stan jednolitych części wód podziemnych (</w:t>
      </w:r>
      <w:proofErr w:type="spellStart"/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JCWPd</w:t>
      </w:r>
      <w:proofErr w:type="spellEnd"/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) i powierzchniowych (JCWP) oraz możliwość osiągnięcia celów środowiskowych, drugi ww. Organ, zgodnie z art. 1 ustawy z dnia 14 marca 1985 r. o Państwowej Inspekcji Sanitarnej (Dz.U. z 2024 r. poz. 416) został powołany w celu realizacji zadań z zakresu zdrowia publicznego, w tym m.in. "ochrony zdrowia ludzkiego przed niekorzystnym wpływem szkodliwości i uciążliwości środowiskowych".  Regionalny Dyrektor Ochrony Środowiska bada natomiast wpływ przedsięwzięcia na środowisko przyrodnicze, w tym obszar Natura 2000. </w:t>
      </w:r>
    </w:p>
    <w:p w14:paraId="33ED0AA0" w14:textId="77777777" w:rsidR="00A02858" w:rsidRPr="00A02858" w:rsidRDefault="00A02858" w:rsidP="00A02858">
      <w:pPr>
        <w:widowControl w:val="0"/>
        <w:spacing w:before="38" w:after="0" w:line="276" w:lineRule="auto"/>
        <w:ind w:left="720" w:right="133"/>
        <w:contextualSpacing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Po przeanalizowaniu stanowisk organów opiniujących oraz informacji zawartych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br/>
        <w:t xml:space="preserve">w karcie informacyjnej przedsięwzięcia,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tut. Organ mając na względzie m.in. skalę przedsięwzięcia oraz jego wpływ na </w:t>
      </w:r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akustyczny stan środowiska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uznał, że konieczne jest przeprowadzenie oceny oddziaływania na środowisko dla przedmiotowego przedsięwzięcia.</w:t>
      </w:r>
    </w:p>
    <w:p w14:paraId="27BD7B10" w14:textId="77777777" w:rsidR="00A02858" w:rsidRPr="00A02858" w:rsidRDefault="00A02858" w:rsidP="00A02858">
      <w:pPr>
        <w:spacing w:after="0" w:line="276" w:lineRule="auto"/>
        <w:ind w:right="-72"/>
        <w:jc w:val="both"/>
        <w:rPr>
          <w:rFonts w:ascii="Century Gothic" w:eastAsia="Times New Roman" w:hAnsi="Century Gothic" w:cs="Times New Roman"/>
          <w:color w:val="000000" w:themeColor="text1"/>
          <w:w w:val="105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W</w:t>
      </w:r>
      <w:r w:rsidRPr="00A02858">
        <w:rPr>
          <w:rFonts w:ascii="Century Gothic" w:eastAsia="Times New Roman" w:hAnsi="Century Gothic" w:cs="Times New Roman"/>
          <w:color w:val="000000" w:themeColor="text1"/>
          <w:spacing w:val="1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z</w:t>
      </w:r>
      <w:r w:rsidRPr="00A02858">
        <w:rPr>
          <w:rFonts w:ascii="Century Gothic" w:eastAsia="Times New Roman" w:hAnsi="Century Gothic" w:cs="Times New Roman"/>
          <w:color w:val="000000" w:themeColor="text1"/>
          <w:spacing w:val="6"/>
          <w:kern w:val="0"/>
          <w:sz w:val="21"/>
          <w:szCs w:val="21"/>
          <w:lang w:eastAsia="pl-PL"/>
          <w14:ligatures w14:val="none"/>
        </w:rPr>
        <w:t>w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iązku</w:t>
      </w:r>
      <w:r w:rsidRPr="00A02858">
        <w:rPr>
          <w:rFonts w:ascii="Century Gothic" w:eastAsia="Times New Roman" w:hAnsi="Century Gothic" w:cs="Times New Roman"/>
          <w:color w:val="000000" w:themeColor="text1"/>
          <w:spacing w:val="37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z</w:t>
      </w:r>
      <w:r w:rsidRPr="00A02858">
        <w:rPr>
          <w:rFonts w:ascii="Century Gothic" w:eastAsia="Times New Roman" w:hAnsi="Century Gothic" w:cs="Times New Roman"/>
          <w:color w:val="000000" w:themeColor="text1"/>
          <w:spacing w:val="8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pow</w:t>
      </w:r>
      <w:r w:rsidRPr="00A02858">
        <w:rPr>
          <w:rFonts w:ascii="Century Gothic" w:eastAsia="Times New Roman" w:hAnsi="Century Gothic" w:cs="Times New Roman"/>
          <w:color w:val="000000" w:themeColor="text1"/>
          <w:spacing w:val="5"/>
          <w:kern w:val="0"/>
          <w:sz w:val="21"/>
          <w:szCs w:val="21"/>
          <w:lang w:eastAsia="pl-PL"/>
          <w14:ligatures w14:val="none"/>
        </w:rPr>
        <w:t>y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ższym</w:t>
      </w:r>
      <w:r w:rsidRPr="00A02858">
        <w:rPr>
          <w:rFonts w:ascii="Century Gothic" w:eastAsia="Times New Roman" w:hAnsi="Century Gothic" w:cs="Times New Roman"/>
          <w:color w:val="000000" w:themeColor="text1"/>
          <w:spacing w:val="10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orzeczono jak</w:t>
      </w:r>
      <w:r w:rsidRPr="00A02858">
        <w:rPr>
          <w:rFonts w:ascii="Century Gothic" w:eastAsia="Times New Roman" w:hAnsi="Century Gothic" w:cs="Times New Roman"/>
          <w:color w:val="000000" w:themeColor="text1"/>
          <w:spacing w:val="18"/>
          <w:kern w:val="0"/>
          <w:sz w:val="21"/>
          <w:szCs w:val="21"/>
          <w:lang w:eastAsia="pl-PL"/>
          <w14:ligatures w14:val="none"/>
        </w:rPr>
        <w:t xml:space="preserve"> </w:t>
      </w:r>
      <w:r w:rsidRPr="00A02858">
        <w:rPr>
          <w:rFonts w:ascii="Century Gothic" w:eastAsia="Times New Roman" w:hAnsi="Century Gothic" w:cs="Times New Roman"/>
          <w:color w:val="000000" w:themeColor="text1"/>
          <w:w w:val="105"/>
          <w:kern w:val="0"/>
          <w:sz w:val="21"/>
          <w:szCs w:val="21"/>
          <w:lang w:eastAsia="pl-PL"/>
          <w14:ligatures w14:val="none"/>
        </w:rPr>
        <w:t xml:space="preserve">sentencji. </w:t>
      </w:r>
    </w:p>
    <w:p w14:paraId="2B26CD9C" w14:textId="77777777" w:rsidR="00A02858" w:rsidRPr="00A02858" w:rsidRDefault="00A02858" w:rsidP="00A02858">
      <w:pPr>
        <w:spacing w:after="0" w:line="276" w:lineRule="auto"/>
        <w:rPr>
          <w:rFonts w:ascii="Century Gothic" w:eastAsia="Times New Roman" w:hAnsi="Century Gothic" w:cs="Times New Roman"/>
          <w:b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0AAAA760" w14:textId="77777777" w:rsidR="00A02858" w:rsidRPr="00A02858" w:rsidRDefault="00A02858" w:rsidP="00A02858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color w:val="000000" w:themeColor="text1"/>
          <w:kern w:val="0"/>
          <w:sz w:val="21"/>
          <w:szCs w:val="21"/>
          <w:lang w:eastAsia="pl-PL"/>
          <w14:ligatures w14:val="none"/>
        </w:rPr>
        <w:t>Pouczenie</w:t>
      </w:r>
    </w:p>
    <w:p w14:paraId="4FE3CF36" w14:textId="77777777" w:rsidR="00A02858" w:rsidRPr="00A02858" w:rsidRDefault="00A02858" w:rsidP="00A02858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spacing w:val="36"/>
          <w:kern w:val="0"/>
          <w:sz w:val="21"/>
          <w:szCs w:val="21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Na niniejsze postanowienie przysługuje stronom zażalenie za pośrednictwem  Wójta Gminy Gniezno do  Samorządowego Kolegium Odwoławczego w Poznaniu w terminie 7 dni od dnia jego doręczenia. </w:t>
      </w:r>
      <w:r w:rsidRPr="00A02858">
        <w:rPr>
          <w:rFonts w:ascii="Century Gothic" w:eastAsia="Times New Roman" w:hAnsi="Century Gothic" w:cs="Times New Roman"/>
          <w:spacing w:val="36"/>
          <w:kern w:val="0"/>
          <w:sz w:val="21"/>
          <w:szCs w:val="21"/>
          <w:lang w:eastAsia="pl-PL"/>
          <w14:ligatures w14:val="none"/>
        </w:rPr>
        <w:t xml:space="preserve"> </w:t>
      </w:r>
    </w:p>
    <w:p w14:paraId="71913370" w14:textId="77777777" w:rsidR="00A02858" w:rsidRPr="00A02858" w:rsidRDefault="00A02858" w:rsidP="00A02858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6A6F544F" w14:textId="77777777" w:rsidR="00A02858" w:rsidRPr="00A02858" w:rsidRDefault="00A02858" w:rsidP="00A02858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t>Otrzymują:</w:t>
      </w:r>
    </w:p>
    <w:p w14:paraId="4C024805" w14:textId="77777777" w:rsidR="00A02858" w:rsidRPr="00A02858" w:rsidRDefault="00A02858" w:rsidP="00A02858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 xml:space="preserve">Strony postępowania administracyjnego wg rozdzielnika </w:t>
      </w:r>
    </w:p>
    <w:p w14:paraId="0E91C22F" w14:textId="77777777" w:rsidR="00A02858" w:rsidRPr="00A02858" w:rsidRDefault="00A02858" w:rsidP="00A02858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>a/a (sprawę prowadzi Rafał Skweres – tel. 61 424 57 66)</w:t>
      </w:r>
    </w:p>
    <w:p w14:paraId="08D33ACD" w14:textId="77777777" w:rsidR="00A02858" w:rsidRPr="00A02858" w:rsidRDefault="00A02858" w:rsidP="00A02858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u w:val="single"/>
          <w:lang w:eastAsia="pl-PL"/>
          <w14:ligatures w14:val="none"/>
        </w:rPr>
      </w:pPr>
    </w:p>
    <w:p w14:paraId="2A838704" w14:textId="77777777" w:rsidR="00A02858" w:rsidRPr="00A02858" w:rsidRDefault="00A02858" w:rsidP="00A02858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t>Do wiadomości:</w:t>
      </w:r>
    </w:p>
    <w:p w14:paraId="12DF754E" w14:textId="77777777" w:rsidR="00A02858" w:rsidRPr="00A02858" w:rsidRDefault="00A02858" w:rsidP="00A02858">
      <w:pPr>
        <w:numPr>
          <w:ilvl w:val="0"/>
          <w:numId w:val="6"/>
        </w:num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>Regionalny Dyrektor Ochrony Środowiska w Poznaniu, ul. Kościuszki 57, 61-891 Poznań</w:t>
      </w:r>
    </w:p>
    <w:p w14:paraId="21A3E470" w14:textId="77777777" w:rsidR="00A02858" w:rsidRPr="00A02858" w:rsidRDefault="00A02858" w:rsidP="00A02858">
      <w:pPr>
        <w:numPr>
          <w:ilvl w:val="0"/>
          <w:numId w:val="6"/>
        </w:num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>Państwowy Powiatowy Inspektor Sanitarny w Gnieźnie, ul. Św. Wawrzyńca 18, 62-200 Gniezno</w:t>
      </w:r>
    </w:p>
    <w:p w14:paraId="277F71E2" w14:textId="77777777" w:rsidR="00A02858" w:rsidRPr="00A02858" w:rsidRDefault="00A02858" w:rsidP="00A02858">
      <w:pPr>
        <w:numPr>
          <w:ilvl w:val="0"/>
          <w:numId w:val="6"/>
        </w:num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>Dyrektor Zarządu Zlewni Wód Polskich w Poznaniu, ul. Szewska 1, 61-760 Poznań</w:t>
      </w:r>
    </w:p>
    <w:p w14:paraId="5F40B2BB" w14:textId="77777777" w:rsidR="00A02858" w:rsidRPr="00A02858" w:rsidRDefault="00A02858" w:rsidP="00A02858">
      <w:pPr>
        <w:spacing w:after="120" w:line="276" w:lineRule="auto"/>
        <w:jc w:val="both"/>
        <w:rPr>
          <w:rFonts w:ascii="Century Gothic" w:eastAsia="Calibri" w:hAnsi="Century Gothic" w:cs="Times New Roman"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Calibri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A02858">
        <w:rPr>
          <w:rFonts w:ascii="Century Gothic" w:eastAsia="Calibri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:</w:t>
      </w:r>
      <w:r w:rsidRPr="00A02858">
        <w:rPr>
          <w:rFonts w:ascii="Century Gothic" w:eastAsia="Calibri" w:hAnsi="Century Gothic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p w14:paraId="5015A2A6" w14:textId="77777777" w:rsidR="00A02858" w:rsidRPr="00A02858" w:rsidRDefault="00A02858" w:rsidP="00A02858">
      <w:pPr>
        <w:spacing w:after="120" w:line="276" w:lineRule="auto"/>
        <w:ind w:firstLine="425"/>
        <w:jc w:val="both"/>
        <w:rPr>
          <w:rFonts w:ascii="Century Gothic" w:eastAsia="Calibri" w:hAnsi="Century Gothic" w:cs="Times New Roman"/>
          <w:i/>
          <w:kern w:val="0"/>
          <w:sz w:val="16"/>
          <w:szCs w:val="16"/>
          <w:lang w:eastAsia="pl-PL"/>
          <w14:ligatures w14:val="none"/>
        </w:rPr>
      </w:pPr>
      <w:r w:rsidRPr="00A02858">
        <w:rPr>
          <w:rFonts w:ascii="Century Gothic" w:eastAsia="Calibri" w:hAnsi="Century Gothic" w:cs="Times New Roman"/>
          <w:kern w:val="0"/>
          <w:sz w:val="16"/>
          <w:szCs w:val="16"/>
          <w:lang w:eastAsia="pl-PL"/>
          <w14:ligatures w14:val="none"/>
        </w:rPr>
        <w:t xml:space="preserve">Ponieważ w powyższej sprawie liczba stron postępowania przekracza 10, zgodnie z art. 74 ust.3 ustawy z dnia 3 października </w:t>
      </w:r>
      <w:r w:rsidRPr="00A02858">
        <w:rPr>
          <w:rFonts w:ascii="Century Gothic" w:eastAsia="Calibri" w:hAnsi="Century Gothic" w:cs="Times New Roman"/>
          <w:bCs/>
          <w:kern w:val="0"/>
          <w:sz w:val="16"/>
          <w:szCs w:val="16"/>
          <w:lang w:eastAsia="pl-PL"/>
          <w14:ligatures w14:val="none"/>
        </w:rPr>
        <w:t xml:space="preserve">2008 roku o udostępnianiu informacji o środowisku i jego ochronie, udziale społeczeństwa w ochronie środowiska oraz o ocenach oddziaływania na środowisko </w:t>
      </w:r>
      <w:r w:rsidRPr="00A02858">
        <w:rPr>
          <w:rFonts w:ascii="Century Gothic" w:eastAsia="Calibri" w:hAnsi="Century Gothic" w:cs="Times New Roman"/>
          <w:kern w:val="0"/>
          <w:sz w:val="16"/>
          <w:szCs w:val="16"/>
          <w:lang w:eastAsia="pl-PL"/>
          <w14:ligatures w14:val="none"/>
        </w:rPr>
        <w:t xml:space="preserve">oraz art. 49 Kodeksu postępowania administracyjnego – zawiadomienie stron o wydanym postanowieniu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Pr="00A02858">
        <w:rPr>
          <w:rFonts w:ascii="Century Gothic" w:eastAsia="Calibri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20 lutego 2025 roku.</w:t>
      </w:r>
      <w:r w:rsidRPr="00A02858">
        <w:rPr>
          <w:rFonts w:ascii="Century Gothic" w:eastAsia="Calibri" w:hAnsi="Century Gothic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p w14:paraId="690D97AA" w14:textId="77777777" w:rsidR="00A02858" w:rsidRPr="00A02858" w:rsidRDefault="00A02858" w:rsidP="00A02858">
      <w:pPr>
        <w:spacing w:after="0" w:line="360" w:lineRule="auto"/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</w:pPr>
      <w:r w:rsidRPr="00A02858"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  <w:t>Wywieszono na tablicy ogłoszeń ……………………………………………….…….. na okres od dnia  …………….. do dnia …………………….. (włącznie)</w:t>
      </w:r>
    </w:p>
    <w:p w14:paraId="7941AA6C" w14:textId="49803B09" w:rsidR="00EE1F09" w:rsidRDefault="00A02858" w:rsidP="00A02858">
      <w:r w:rsidRPr="00A02858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Podpis i pieczątka</w:t>
      </w:r>
    </w:p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4235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62900A55"/>
    <w:multiLevelType w:val="hybridMultilevel"/>
    <w:tmpl w:val="07E887E4"/>
    <w:lvl w:ilvl="0" w:tplc="D7824130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F8E2">
      <w:start w:val="1"/>
      <w:numFmt w:val="decimal"/>
      <w:lvlText w:val="%2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FCAB30">
      <w:start w:val="1"/>
      <w:numFmt w:val="lowerRoman"/>
      <w:lvlText w:val="%3"/>
      <w:lvlJc w:val="left"/>
      <w:pPr>
        <w:ind w:left="1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826980">
      <w:start w:val="1"/>
      <w:numFmt w:val="decimal"/>
      <w:lvlText w:val="%4"/>
      <w:lvlJc w:val="left"/>
      <w:pPr>
        <w:ind w:left="2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6CFCC">
      <w:start w:val="1"/>
      <w:numFmt w:val="lowerLetter"/>
      <w:lvlText w:val="%5"/>
      <w:lvlJc w:val="left"/>
      <w:pPr>
        <w:ind w:left="2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1CB99A">
      <w:start w:val="1"/>
      <w:numFmt w:val="lowerRoman"/>
      <w:lvlText w:val="%6"/>
      <w:lvlJc w:val="left"/>
      <w:pPr>
        <w:ind w:left="3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6A1B86">
      <w:start w:val="1"/>
      <w:numFmt w:val="decimal"/>
      <w:lvlText w:val="%7"/>
      <w:lvlJc w:val="left"/>
      <w:pPr>
        <w:ind w:left="4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BCE7B0">
      <w:start w:val="1"/>
      <w:numFmt w:val="lowerLetter"/>
      <w:lvlText w:val="%8"/>
      <w:lvlJc w:val="left"/>
      <w:pPr>
        <w:ind w:left="4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8A172C">
      <w:start w:val="1"/>
      <w:numFmt w:val="lowerRoman"/>
      <w:lvlText w:val="%9"/>
      <w:lvlJc w:val="left"/>
      <w:pPr>
        <w:ind w:left="5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B3D1CEC"/>
    <w:multiLevelType w:val="hybridMultilevel"/>
    <w:tmpl w:val="37981CFA"/>
    <w:lvl w:ilvl="0" w:tplc="2ADC984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E4F92"/>
    <w:multiLevelType w:val="hybridMultilevel"/>
    <w:tmpl w:val="FC6C5E2A"/>
    <w:lvl w:ilvl="0" w:tplc="7B32A4BC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926038626">
    <w:abstractNumId w:val="6"/>
  </w:num>
  <w:num w:numId="2" w16cid:durableId="595599772">
    <w:abstractNumId w:val="8"/>
  </w:num>
  <w:num w:numId="3" w16cid:durableId="1820804585">
    <w:abstractNumId w:val="5"/>
  </w:num>
  <w:num w:numId="4" w16cid:durableId="1560945236">
    <w:abstractNumId w:val="1"/>
  </w:num>
  <w:num w:numId="5" w16cid:durableId="916089137">
    <w:abstractNumId w:val="7"/>
  </w:num>
  <w:num w:numId="6" w16cid:durableId="1431900404">
    <w:abstractNumId w:val="4"/>
  </w:num>
  <w:num w:numId="7" w16cid:durableId="210846568">
    <w:abstractNumId w:val="3"/>
  </w:num>
  <w:num w:numId="8" w16cid:durableId="1563103095">
    <w:abstractNumId w:val="2"/>
  </w:num>
  <w:num w:numId="9" w16cid:durableId="2129934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58"/>
    <w:rsid w:val="00A02858"/>
    <w:rsid w:val="00CE7316"/>
    <w:rsid w:val="00D10E0F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5B89"/>
  <w15:chartTrackingRefBased/>
  <w15:docId w15:val="{1F15233A-163C-4E01-A74D-F12F48C6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8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8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8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8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8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8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8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8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8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28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8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8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5012</Words>
  <Characters>30074</Characters>
  <Application>Microsoft Office Word</Application>
  <DocSecurity>0</DocSecurity>
  <Lines>250</Lines>
  <Paragraphs>70</Paragraphs>
  <ScaleCrop>false</ScaleCrop>
  <Company/>
  <LinksUpToDate>false</LinksUpToDate>
  <CharactersWithSpaces>35016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2025-02-19T07:21:00Z</dcterms:created>
  <dcterms:modified xsi:type="dcterms:W3CDTF">2025-02-19T07:21:00Z</dcterms:modified>
</cp:coreProperties>
</file>