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6528" w14:textId="77777777" w:rsidR="00CD5A60" w:rsidRDefault="00CD5A60" w:rsidP="00CD5A60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Gniezno, dnia 11 lutego 2025 r.</w:t>
      </w:r>
    </w:p>
    <w:p w14:paraId="353E80AE" w14:textId="77777777" w:rsidR="00CD5A60" w:rsidRDefault="00CD5A60" w:rsidP="00CD5A6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6220.2.2025</w:t>
      </w:r>
    </w:p>
    <w:p w14:paraId="39DB6230" w14:textId="77777777" w:rsidR="00CD5A60" w:rsidRDefault="00CD5A60" w:rsidP="00CD5A60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30529026" w14:textId="77777777" w:rsidR="00CD5A60" w:rsidRDefault="00CD5A60" w:rsidP="00CD5A60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6A70CAEF" w14:textId="77777777" w:rsidR="00CD5A60" w:rsidRDefault="00CD5A60" w:rsidP="00CD5A60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04261775" w14:textId="25531458" w:rsidR="00CD5A60" w:rsidRPr="00F46171" w:rsidRDefault="00CD5A60" w:rsidP="00CD5A60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F46171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F46171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F46171"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 w:rsidRPr="00F46171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F46171">
        <w:rPr>
          <w:rFonts w:ascii="Century Gothic" w:hAnsi="Century Gothic"/>
          <w:bCs/>
          <w:sz w:val="20"/>
          <w:szCs w:val="20"/>
        </w:rPr>
        <w:t xml:space="preserve">2008r. </w:t>
      </w:r>
      <w:r w:rsidRPr="00F46171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F46171">
        <w:rPr>
          <w:rFonts w:ascii="Century Gothic" w:hAnsi="Century Gothic"/>
          <w:bCs/>
          <w:sz w:val="20"/>
          <w:szCs w:val="20"/>
        </w:rPr>
        <w:t xml:space="preserve"> </w:t>
      </w:r>
      <w:r w:rsidRPr="00F46171">
        <w:rPr>
          <w:rFonts w:ascii="Century Gothic" w:hAnsi="Century Gothic"/>
          <w:sz w:val="20"/>
          <w:szCs w:val="20"/>
        </w:rPr>
        <w:t xml:space="preserve">/Dz. U. z 2024 r., poz. 1112/ </w:t>
      </w:r>
      <w:r w:rsidRPr="00F46171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F46171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F46171">
        <w:rPr>
          <w:rFonts w:ascii="Century Gothic" w:hAnsi="Century Gothic"/>
          <w:sz w:val="20"/>
          <w:szCs w:val="20"/>
        </w:rPr>
        <w:t xml:space="preserve">że </w:t>
      </w:r>
      <w:r w:rsidRPr="00F46171">
        <w:rPr>
          <w:rFonts w:ascii="Century Gothic" w:hAnsi="Century Gothic"/>
          <w:b/>
          <w:sz w:val="20"/>
          <w:szCs w:val="20"/>
        </w:rPr>
        <w:t xml:space="preserve">dnia </w:t>
      </w:r>
      <w:r w:rsidRPr="00F46171">
        <w:rPr>
          <w:rFonts w:ascii="Century Gothic" w:hAnsi="Century Gothic"/>
          <w:b/>
          <w:bCs/>
          <w:sz w:val="20"/>
          <w:szCs w:val="20"/>
        </w:rPr>
        <w:t>7 lutego 2025 r.,</w:t>
      </w:r>
      <w:r w:rsidRPr="00F46171">
        <w:rPr>
          <w:rFonts w:ascii="Century Gothic" w:hAnsi="Century Gothic"/>
          <w:b/>
          <w:sz w:val="20"/>
          <w:szCs w:val="20"/>
        </w:rPr>
        <w:t xml:space="preserve"> </w:t>
      </w:r>
      <w:r w:rsidRPr="00F46171">
        <w:rPr>
          <w:rFonts w:ascii="Century Gothic" w:hAnsi="Century Gothic"/>
          <w:sz w:val="20"/>
          <w:szCs w:val="20"/>
        </w:rPr>
        <w:t xml:space="preserve">na wniosek </w:t>
      </w:r>
      <w:r w:rsidRPr="00F46171">
        <w:rPr>
          <w:rFonts w:ascii="Century Gothic" w:hAnsi="Century Gothic"/>
          <w:b/>
          <w:sz w:val="20"/>
          <w:szCs w:val="20"/>
        </w:rPr>
        <w:t>Pana Aleksandra E</w:t>
      </w:r>
      <w:r>
        <w:rPr>
          <w:rFonts w:ascii="Century Gothic" w:hAnsi="Century Gothic"/>
          <w:b/>
          <w:sz w:val="20"/>
          <w:szCs w:val="20"/>
        </w:rPr>
        <w:t>.</w:t>
      </w:r>
      <w:r w:rsidRPr="00F46171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–</w:t>
      </w:r>
      <w:r w:rsidRPr="00F46171">
        <w:rPr>
          <w:rFonts w:ascii="Century Gothic" w:hAnsi="Century Gothic"/>
          <w:b/>
          <w:sz w:val="20"/>
          <w:szCs w:val="20"/>
        </w:rPr>
        <w:t xml:space="preserve"> P</w:t>
      </w:r>
      <w:r>
        <w:rPr>
          <w:rFonts w:ascii="Century Gothic" w:hAnsi="Century Gothic"/>
          <w:b/>
          <w:sz w:val="20"/>
          <w:szCs w:val="20"/>
        </w:rPr>
        <w:t>.</w:t>
      </w:r>
      <w:r w:rsidRPr="00F46171">
        <w:rPr>
          <w:rFonts w:ascii="Century Gothic" w:hAnsi="Century Gothic"/>
          <w:b/>
          <w:sz w:val="20"/>
          <w:szCs w:val="20"/>
        </w:rPr>
        <w:t xml:space="preserve"> reprezentowanego przez Pełnomocnika Panią Edytę E</w:t>
      </w:r>
      <w:r>
        <w:rPr>
          <w:rFonts w:ascii="Century Gothic" w:hAnsi="Century Gothic"/>
          <w:b/>
          <w:sz w:val="20"/>
          <w:szCs w:val="20"/>
        </w:rPr>
        <w:t>.</w:t>
      </w:r>
      <w:r w:rsidRPr="00F46171">
        <w:rPr>
          <w:rFonts w:ascii="Century Gothic" w:hAnsi="Century Gothic"/>
          <w:b/>
          <w:sz w:val="20"/>
          <w:szCs w:val="20"/>
        </w:rPr>
        <w:t xml:space="preserve">, </w:t>
      </w:r>
      <w:r w:rsidRPr="00F46171">
        <w:rPr>
          <w:rFonts w:ascii="Century Gothic" w:hAnsi="Century Gothic"/>
          <w:bCs/>
          <w:sz w:val="20"/>
          <w:szCs w:val="20"/>
        </w:rPr>
        <w:t>z</w:t>
      </w:r>
      <w:r w:rsidRPr="00F46171"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 w:rsidRPr="00F46171"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 w:rsidRPr="00F46171">
        <w:rPr>
          <w:rFonts w:ascii="Century Gothic" w:hAnsi="Century Gothic"/>
          <w:sz w:val="20"/>
          <w:szCs w:val="20"/>
        </w:rPr>
        <w:t>na</w:t>
      </w:r>
      <w:bookmarkStart w:id="2" w:name="_Hlk115814044"/>
      <w:r w:rsidRPr="00F46171">
        <w:rPr>
          <w:rFonts w:ascii="Century Gothic" w:hAnsi="Century Gothic"/>
          <w:b/>
          <w:sz w:val="20"/>
          <w:szCs w:val="20"/>
        </w:rPr>
        <w:t xml:space="preserve"> budowie 3 budynków mieszkalnych jednorodzinnych wolnostojących na terenie działki nr 78/1 w miejscowości Kalina, Gmina Gniezno.</w:t>
      </w:r>
    </w:p>
    <w:bookmarkEnd w:id="2"/>
    <w:p w14:paraId="445E94CF" w14:textId="77777777" w:rsidR="00CD5A60" w:rsidRDefault="00CD5A60" w:rsidP="00CD5A60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7B7F909A" w14:textId="77777777" w:rsidR="00CD5A60" w:rsidRDefault="00CD5A60" w:rsidP="00CD5A60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67DB681E" w14:textId="77777777" w:rsidR="00CD5A60" w:rsidRDefault="00CD5A60" w:rsidP="00CD5A60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§ 3 ust. 2 pkt 3 i  § 3 ust. 1 pkt 55 lit. b </w:t>
      </w:r>
      <w:proofErr w:type="spellStart"/>
      <w:r>
        <w:rPr>
          <w:rFonts w:ascii="Century Gothic" w:hAnsi="Century Gothic"/>
          <w:bCs/>
          <w:sz w:val="20"/>
          <w:szCs w:val="20"/>
        </w:rPr>
        <w:t>tiret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pierwsze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6736309F" w14:textId="77777777" w:rsidR="00CD5A60" w:rsidRDefault="00CD5A60" w:rsidP="00CD5A60">
      <w:pPr>
        <w:numPr>
          <w:ilvl w:val="0"/>
          <w:numId w:val="63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24F428EB" w14:textId="77777777" w:rsidR="00CD5A60" w:rsidRDefault="00CD5A60" w:rsidP="00CD5A60">
      <w:pPr>
        <w:numPr>
          <w:ilvl w:val="0"/>
          <w:numId w:val="63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45D27B17" w14:textId="77777777" w:rsidR="00CD5A60" w:rsidRPr="000352EF" w:rsidRDefault="00CD5A60" w:rsidP="00CD5A60">
      <w:pPr>
        <w:numPr>
          <w:ilvl w:val="0"/>
          <w:numId w:val="63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36C8F247" w14:textId="77777777" w:rsidR="00CD5A60" w:rsidRDefault="00CD5A60" w:rsidP="00CD5A60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56036E3A" w14:textId="77777777" w:rsidR="00CD5A60" w:rsidRDefault="00CD5A60" w:rsidP="00CD5A60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5CA87824" w14:textId="77777777" w:rsidR="00CD5A60" w:rsidRDefault="00CD5A60" w:rsidP="00CD5A60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4615EB73" w14:textId="77777777" w:rsidR="00CD5A60" w:rsidRDefault="00CD5A60" w:rsidP="00CD5A60">
      <w:pPr>
        <w:jc w:val="both"/>
        <w:rPr>
          <w:rFonts w:ascii="Century Gothic" w:eastAsia="Calibri" w:hAnsi="Century Gothic"/>
          <w:i/>
          <w:sz w:val="14"/>
          <w:szCs w:val="14"/>
        </w:rPr>
      </w:pPr>
      <w:r>
        <w:rPr>
          <w:rFonts w:ascii="Century Gothic" w:eastAsia="Calibri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:</w:t>
      </w:r>
      <w:r>
        <w:rPr>
          <w:rFonts w:ascii="Century Gothic" w:eastAsia="Calibri" w:hAnsi="Century Gothic"/>
          <w:i/>
          <w:sz w:val="14"/>
          <w:szCs w:val="14"/>
        </w:rPr>
        <w:t xml:space="preserve"> </w:t>
      </w:r>
    </w:p>
    <w:p w14:paraId="51F6639B" w14:textId="77777777" w:rsidR="00CD5A60" w:rsidRDefault="00CD5A60" w:rsidP="00CD5A60">
      <w:pPr>
        <w:jc w:val="both"/>
        <w:rPr>
          <w:rFonts w:ascii="Century Gothic" w:eastAsia="Calibri" w:hAnsi="Century Gothic"/>
          <w:b/>
          <w:bCs/>
          <w:i/>
          <w:sz w:val="14"/>
          <w:szCs w:val="14"/>
        </w:rPr>
      </w:pPr>
      <w:r>
        <w:rPr>
          <w:rFonts w:ascii="Century Gothic" w:eastAsia="Calibri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eastAsia="Calibri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eastAsia="Calibri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eastAsia="Calibri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12 lutego 2025 roku</w:t>
      </w:r>
    </w:p>
    <w:p w14:paraId="7458206D" w14:textId="77777777" w:rsidR="00CD5A60" w:rsidRDefault="00CD5A60" w:rsidP="00CD5A60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73E0DDBF" w14:textId="77777777" w:rsidR="00CD5A60" w:rsidRDefault="00CD5A60" w:rsidP="00CD5A60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14A7D4D0" w14:textId="77777777" w:rsidR="00CD5A60" w:rsidRDefault="00CD5A60" w:rsidP="00CD5A60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059BDCC0" w14:textId="77777777" w:rsidR="00CD5A60" w:rsidRDefault="00CD5A60" w:rsidP="00CD5A60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4770532B" w14:textId="77777777" w:rsidR="00CD5A60" w:rsidRDefault="00CD5A60" w:rsidP="00CD5A60">
      <w:pPr>
        <w:rPr>
          <w:rFonts w:ascii="Century Gothic" w:hAnsi="Century Gothic"/>
          <w:sz w:val="18"/>
          <w:szCs w:val="18"/>
          <w:u w:val="single"/>
        </w:rPr>
      </w:pPr>
    </w:p>
    <w:p w14:paraId="3B3372E9" w14:textId="77777777" w:rsidR="00CD5A60" w:rsidRDefault="00CD5A60" w:rsidP="00CD5A60">
      <w:pPr>
        <w:rPr>
          <w:rFonts w:ascii="Century Gothic" w:hAnsi="Century Gothic"/>
          <w:sz w:val="18"/>
          <w:szCs w:val="18"/>
          <w:u w:val="single"/>
        </w:rPr>
      </w:pPr>
    </w:p>
    <w:p w14:paraId="3FCC29C3" w14:textId="77777777" w:rsidR="00CD5A60" w:rsidRDefault="00CD5A60" w:rsidP="00CD5A60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166B04DE" w14:textId="77777777" w:rsidR="00CD5A60" w:rsidRDefault="00CD5A60" w:rsidP="00CD5A60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22A68920" w14:textId="77777777" w:rsidR="00CD5A60" w:rsidRDefault="00CD5A60" w:rsidP="00CD5A60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A2CC5" w14:textId="77777777" w:rsidR="008325FD" w:rsidRDefault="008325FD" w:rsidP="00A3277F">
      <w:r>
        <w:separator/>
      </w:r>
    </w:p>
  </w:endnote>
  <w:endnote w:type="continuationSeparator" w:id="0">
    <w:p w14:paraId="32696E02" w14:textId="77777777" w:rsidR="008325FD" w:rsidRDefault="008325FD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0036D" w14:textId="77777777" w:rsidR="008325FD" w:rsidRDefault="008325FD" w:rsidP="00A3277F">
      <w:r>
        <w:separator/>
      </w:r>
    </w:p>
  </w:footnote>
  <w:footnote w:type="continuationSeparator" w:id="0">
    <w:p w14:paraId="6CF33C25" w14:textId="77777777" w:rsidR="008325FD" w:rsidRDefault="008325FD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2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7"/>
  </w:num>
  <w:num w:numId="3" w16cid:durableId="1074663893">
    <w:abstractNumId w:val="56"/>
  </w:num>
  <w:num w:numId="4" w16cid:durableId="592471330">
    <w:abstractNumId w:val="61"/>
  </w:num>
  <w:num w:numId="5" w16cid:durableId="619648723">
    <w:abstractNumId w:val="50"/>
  </w:num>
  <w:num w:numId="6" w16cid:durableId="1021542371">
    <w:abstractNumId w:val="42"/>
  </w:num>
  <w:num w:numId="7" w16cid:durableId="1136877568">
    <w:abstractNumId w:val="57"/>
  </w:num>
  <w:num w:numId="8" w16cid:durableId="658075639">
    <w:abstractNumId w:val="11"/>
  </w:num>
  <w:num w:numId="9" w16cid:durableId="902644193">
    <w:abstractNumId w:val="58"/>
  </w:num>
  <w:num w:numId="10" w16cid:durableId="1691489031">
    <w:abstractNumId w:val="40"/>
  </w:num>
  <w:num w:numId="11" w16cid:durableId="854464365">
    <w:abstractNumId w:val="51"/>
  </w:num>
  <w:num w:numId="12" w16cid:durableId="1007830761">
    <w:abstractNumId w:val="0"/>
  </w:num>
  <w:num w:numId="13" w16cid:durableId="1791321217">
    <w:abstractNumId w:val="41"/>
  </w:num>
  <w:num w:numId="14" w16cid:durableId="1274824887">
    <w:abstractNumId w:val="36"/>
  </w:num>
  <w:num w:numId="15" w16cid:durableId="2139102333">
    <w:abstractNumId w:val="60"/>
  </w:num>
  <w:num w:numId="16" w16cid:durableId="1174568163">
    <w:abstractNumId w:val="17"/>
  </w:num>
  <w:num w:numId="17" w16cid:durableId="1670056962">
    <w:abstractNumId w:val="26"/>
  </w:num>
  <w:num w:numId="18" w16cid:durableId="1482311877">
    <w:abstractNumId w:val="47"/>
  </w:num>
  <w:num w:numId="19" w16cid:durableId="501169368">
    <w:abstractNumId w:val="45"/>
  </w:num>
  <w:num w:numId="20" w16cid:durableId="194583265">
    <w:abstractNumId w:val="22"/>
  </w:num>
  <w:num w:numId="21" w16cid:durableId="67692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2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1"/>
  </w:num>
  <w:num w:numId="57" w16cid:durableId="1742409626">
    <w:abstractNumId w:val="48"/>
  </w:num>
  <w:num w:numId="58" w16cid:durableId="1068576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6703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43097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25FD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5572A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5A60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2024-07-01T06:53:00Z</cp:lastPrinted>
  <dcterms:created xsi:type="dcterms:W3CDTF">2025-02-07T09:32:00Z</dcterms:created>
  <dcterms:modified xsi:type="dcterms:W3CDTF">2025-02-07T09:32:00Z</dcterms:modified>
</cp:coreProperties>
</file>