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2A6F" w14:textId="77777777" w:rsidR="00014A51" w:rsidRPr="00014A51" w:rsidRDefault="00014A51" w:rsidP="00014A51">
      <w:pPr>
        <w:keepNext/>
        <w:keepLines/>
        <w:spacing w:before="40" w:after="0" w:line="276" w:lineRule="auto"/>
        <w:jc w:val="right"/>
        <w:outlineLvl w:val="4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Gniezno, dnia 15 lutego 2024 r.</w:t>
      </w:r>
    </w:p>
    <w:p w14:paraId="19A8D671" w14:textId="77777777" w:rsidR="00014A51" w:rsidRPr="00014A51" w:rsidRDefault="00014A51" w:rsidP="00014A51">
      <w:pPr>
        <w:keepNext/>
        <w:keepLines/>
        <w:spacing w:before="40" w:after="0" w:line="276" w:lineRule="auto"/>
        <w:outlineLvl w:val="5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OŚR. 6220.6.2023</w:t>
      </w:r>
    </w:p>
    <w:p w14:paraId="7D377906" w14:textId="77777777" w:rsidR="00014A51" w:rsidRPr="00014A51" w:rsidRDefault="00014A51" w:rsidP="00014A51">
      <w:pPr>
        <w:keepNext/>
        <w:keepLines/>
        <w:spacing w:before="40" w:after="0" w:line="276" w:lineRule="auto"/>
        <w:outlineLvl w:val="5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</w:p>
    <w:p w14:paraId="542AE26D" w14:textId="77777777" w:rsidR="00014A51" w:rsidRPr="00014A51" w:rsidRDefault="00014A51" w:rsidP="00014A51">
      <w:pPr>
        <w:tabs>
          <w:tab w:val="left" w:pos="426"/>
        </w:tabs>
        <w:spacing w:line="276" w:lineRule="auto"/>
        <w:jc w:val="center"/>
        <w:rPr>
          <w:rFonts w:ascii="Century Gothic" w:eastAsia="Times New Roman" w:hAnsi="Century Gothic" w:cs="Times New Roman"/>
          <w:b/>
          <w:kern w:val="0"/>
          <w:sz w:val="21"/>
          <w:szCs w:val="21"/>
          <w:u w:val="single"/>
          <w14:ligatures w14:val="none"/>
        </w:rPr>
      </w:pPr>
      <w:r w:rsidRPr="00014A51">
        <w:rPr>
          <w:rFonts w:ascii="Century Gothic" w:eastAsia="Times New Roman" w:hAnsi="Century Gothic" w:cs="Times New Roman"/>
          <w:b/>
          <w:kern w:val="0"/>
          <w:sz w:val="21"/>
          <w:szCs w:val="21"/>
          <w:u w:val="single"/>
          <w14:ligatures w14:val="none"/>
        </w:rPr>
        <w:t>OBWIESZCZENIE</w:t>
      </w:r>
    </w:p>
    <w:p w14:paraId="0C3D4432" w14:textId="77777777" w:rsidR="00014A51" w:rsidRPr="00014A51" w:rsidRDefault="00014A51" w:rsidP="00014A51">
      <w:pPr>
        <w:spacing w:line="276" w:lineRule="auto"/>
        <w:ind w:firstLine="708"/>
        <w:jc w:val="both"/>
        <w:rPr>
          <w:rFonts w:ascii="Century Gothic" w:eastAsia="Times New Roman" w:hAnsi="Century Gothic" w:cs="Times New Roman"/>
          <w:b/>
          <w:bCs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 xml:space="preserve">Na podstawie art. 49 ustawy z dnia 14 czerwca 1960 r. </w:t>
      </w:r>
      <w:r w:rsidRPr="00014A51">
        <w:rPr>
          <w:rFonts w:ascii="Century Gothic" w:eastAsia="Times New Roman" w:hAnsi="Century Gothic" w:cs="Calibri"/>
          <w:i/>
          <w:kern w:val="0"/>
          <w:sz w:val="21"/>
          <w:szCs w:val="21"/>
          <w14:ligatures w14:val="none"/>
        </w:rPr>
        <w:t xml:space="preserve">kodeks postępowania administracyjnego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 xml:space="preserve">/Dz. U. 2023 r., poz. 775 zez zm./, w związku z art. 74 ust. 3 ustawy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br/>
        <w:t xml:space="preserve">z dnia 3 października </w:t>
      </w:r>
      <w:r w:rsidRPr="00014A51">
        <w:rPr>
          <w:rFonts w:ascii="Century Gothic" w:eastAsia="Times New Roman" w:hAnsi="Century Gothic" w:cs="Calibri"/>
          <w:bCs/>
          <w:kern w:val="0"/>
          <w:sz w:val="21"/>
          <w:szCs w:val="21"/>
          <w14:ligatures w14:val="none"/>
        </w:rPr>
        <w:t xml:space="preserve">2008 r. </w:t>
      </w:r>
      <w:r w:rsidRPr="00014A51">
        <w:rPr>
          <w:rFonts w:ascii="Century Gothic" w:eastAsia="Times New Roman" w:hAnsi="Century Gothic" w:cs="Calibri"/>
          <w:bCs/>
          <w:i/>
          <w:kern w:val="0"/>
          <w:sz w:val="21"/>
          <w:szCs w:val="21"/>
          <w14:ligatures w14:val="none"/>
        </w:rPr>
        <w:t>o udostępnianiu informacji o środowisku i jego ochronie, udziale społeczeństwa w ochronie środowiska oraz o ocenach oddziaływania na środowisko</w:t>
      </w:r>
      <w:r w:rsidRPr="00014A51">
        <w:rPr>
          <w:rFonts w:ascii="Century Gothic" w:eastAsia="Times New Roman" w:hAnsi="Century Gothic" w:cs="Calibri"/>
          <w:bCs/>
          <w:kern w:val="0"/>
          <w:sz w:val="21"/>
          <w:szCs w:val="21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 xml:space="preserve">/Dz. U. z 2023 r., poz. 1094 ze zm./ </w:t>
      </w:r>
      <w:r w:rsidRPr="00014A51">
        <w:rPr>
          <w:rFonts w:ascii="Century Gothic" w:eastAsia="Times New Roman" w:hAnsi="Century Gothic" w:cs="Calibri"/>
          <w:b/>
          <w:kern w:val="0"/>
          <w:sz w:val="21"/>
          <w:szCs w:val="21"/>
          <w14:ligatures w14:val="none"/>
        </w:rPr>
        <w:t xml:space="preserve">Wójt Gminy Gniezno </w:t>
      </w:r>
      <w:r w:rsidRPr="00014A51">
        <w:rPr>
          <w:rFonts w:ascii="Century Gothic" w:eastAsia="Times New Roman" w:hAnsi="Century Gothic" w:cs="Calibri"/>
          <w:bCs/>
          <w:kern w:val="0"/>
          <w:sz w:val="21"/>
          <w:szCs w:val="21"/>
          <w14:ligatures w14:val="none"/>
        </w:rPr>
        <w:t>zawiadamia</w:t>
      </w:r>
      <w:r w:rsidRPr="00014A51">
        <w:rPr>
          <w:rFonts w:ascii="Century Gothic" w:eastAsia="Times New Roman" w:hAnsi="Century Gothic" w:cs="Calibri"/>
          <w:b/>
          <w:bCs/>
          <w:kern w:val="0"/>
          <w:sz w:val="21"/>
          <w:szCs w:val="21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bCs/>
          <w:kern w:val="0"/>
          <w:sz w:val="21"/>
          <w:szCs w:val="21"/>
          <w14:ligatures w14:val="none"/>
        </w:rPr>
        <w:t>strony postępowania administracyjnego o wydanej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 xml:space="preserve"> dnia 15 lutego 2024 r. decyzji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br/>
        <w:t>o środowiskowych uwarunkowaniach</w:t>
      </w:r>
      <w:r w:rsidRPr="00014A51">
        <w:rPr>
          <w:rFonts w:ascii="Century Gothic" w:eastAsia="Times New Roman" w:hAnsi="Century Gothic" w:cs="Calibri"/>
          <w:b/>
          <w:kern w:val="0"/>
          <w:sz w:val="21"/>
          <w:szCs w:val="21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dla przedsięwzięcia polegającego na</w:t>
      </w:r>
      <w:bookmarkStart w:id="0" w:name="_Hlk75772086"/>
      <w:r w:rsidRPr="00014A51">
        <w:rPr>
          <w:rFonts w:ascii="Century Gothic" w:eastAsia="Times New Roman" w:hAnsi="Century Gothic" w:cs="Times New Roman"/>
          <w:b/>
          <w:kern w:val="0"/>
          <w:sz w:val="21"/>
          <w:szCs w:val="21"/>
          <w14:ligatures w14:val="none"/>
        </w:rPr>
        <w:t xml:space="preserve"> budowie do 24 farm fotowoltaicznych o łącznej mocy do 24 MW wraz z niezbędną infrastrukturą techniczną w miejscowości Obora, Gmina Gniezno, działki nr 101/1 i 101/5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,</w:t>
      </w:r>
      <w:r w:rsidRPr="00014A51">
        <w:rPr>
          <w:rFonts w:ascii="Century Gothic" w:eastAsia="Times New Roman" w:hAnsi="Century Gothic" w:cs="Calibri"/>
          <w:b/>
          <w:kern w:val="0"/>
          <w:sz w:val="21"/>
          <w:szCs w:val="21"/>
          <w14:ligatures w14:val="none"/>
        </w:rPr>
        <w:t xml:space="preserve"> </w:t>
      </w:r>
      <w:bookmarkEnd w:id="0"/>
      <w:r w:rsidRPr="00014A51">
        <w:rPr>
          <w:rFonts w:ascii="Century Gothic" w:eastAsia="Times New Roman" w:hAnsi="Century Gothic" w:cs="Calibri"/>
          <w:bCs/>
          <w:kern w:val="0"/>
          <w:sz w:val="21"/>
          <w:szCs w:val="21"/>
          <w14:ligatures w14:val="none"/>
        </w:rPr>
        <w:t>której treść podaje poniżej.</w:t>
      </w:r>
      <w:r w:rsidRPr="00014A51">
        <w:rPr>
          <w:rFonts w:ascii="Century Gothic" w:eastAsia="Times New Roman" w:hAnsi="Century Gothic" w:cs="Calibri"/>
          <w:b/>
          <w:bCs/>
          <w:kern w:val="0"/>
          <w:sz w:val="21"/>
          <w:szCs w:val="21"/>
          <w14:ligatures w14:val="none"/>
        </w:rPr>
        <w:t xml:space="preserve"> </w:t>
      </w:r>
    </w:p>
    <w:p w14:paraId="256DE86A" w14:textId="77777777" w:rsidR="00014A51" w:rsidRPr="00014A51" w:rsidRDefault="00014A51" w:rsidP="00014A51">
      <w:pPr>
        <w:spacing w:after="120" w:line="276" w:lineRule="auto"/>
        <w:ind w:left="283"/>
        <w:jc w:val="both"/>
        <w:rPr>
          <w:rFonts w:ascii="Century Gothic" w:eastAsia="Times New Roman" w:hAnsi="Century Gothic" w:cs="Times New Roman"/>
          <w:kern w:val="0"/>
          <w:sz w:val="21"/>
          <w:szCs w:val="21"/>
          <w:u w:val="single"/>
          <w:lang w:eastAsia="pl-PL"/>
          <w14:ligatures w14:val="none"/>
        </w:rPr>
      </w:pPr>
    </w:p>
    <w:p w14:paraId="0479F178" w14:textId="77777777" w:rsidR="00014A51" w:rsidRPr="00014A51" w:rsidRDefault="00014A51" w:rsidP="00014A51">
      <w:pPr>
        <w:spacing w:after="120" w:line="276" w:lineRule="auto"/>
        <w:ind w:left="283"/>
        <w:jc w:val="both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b/>
          <w:kern w:val="0"/>
          <w:sz w:val="16"/>
          <w:szCs w:val="16"/>
          <w:u w:val="single"/>
          <w:lang w:eastAsia="pl-PL"/>
          <w14:ligatures w14:val="none"/>
        </w:rPr>
        <w:t>Uwaga</w:t>
      </w:r>
      <w:r w:rsidRPr="00014A51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pl-PL"/>
          <w14:ligatures w14:val="none"/>
        </w:rPr>
        <w:t>:</w:t>
      </w:r>
    </w:p>
    <w:p w14:paraId="55313C98" w14:textId="77777777" w:rsidR="00014A51" w:rsidRPr="00014A51" w:rsidRDefault="00014A51" w:rsidP="00014A51">
      <w:pPr>
        <w:spacing w:after="120" w:line="276" w:lineRule="auto"/>
        <w:jc w:val="both"/>
        <w:rPr>
          <w:rFonts w:ascii="Century Gothic" w:eastAsia="Times New Roman" w:hAnsi="Century Gothic" w:cs="Times New Roman"/>
          <w:kern w:val="0"/>
          <w:sz w:val="16"/>
          <w:szCs w:val="16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16"/>
          <w:szCs w:val="16"/>
          <w:lang w:eastAsia="pl-PL"/>
          <w14:ligatures w14:val="none"/>
        </w:rPr>
        <w:tab/>
        <w:t xml:space="preserve">Ponieważ w powyższej sprawie liczba stron postępowania przekracza 10, zgodnie z art. 74 ust. 3 ustawy z dnia 3 października 2008 roku o udostępnianiu informacji o środowisku i jego ochronie, udziale społeczeństwa w ochronie środowiska oraz o ocenach oddziaływania na środowisko oraz art. 49 Kodeksu postępowania administracyjnego – zawiadomienie stron o wydanej decyzji zostaje podane w formie obwieszczenia. Doręczenie uważa się za dokonane po upływie czternastu dni od dnia publicznego ogłoszenia. Publiczne udostępnienie następuje z dniem </w:t>
      </w:r>
      <w:r w:rsidRPr="00014A51"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pl-PL"/>
          <w14:ligatures w14:val="none"/>
        </w:rPr>
        <w:t>16 lutego  2024 roku</w:t>
      </w:r>
      <w:r w:rsidRPr="00014A51">
        <w:rPr>
          <w:rFonts w:ascii="Century Gothic" w:eastAsia="Times New Roman" w:hAnsi="Century Gothic" w:cs="Times New Roman"/>
          <w:kern w:val="0"/>
          <w:sz w:val="16"/>
          <w:szCs w:val="16"/>
          <w:lang w:eastAsia="pl-PL"/>
          <w14:ligatures w14:val="none"/>
        </w:rPr>
        <w:t>.</w:t>
      </w:r>
    </w:p>
    <w:p w14:paraId="5CEE6F4E" w14:textId="77777777" w:rsidR="00014A51" w:rsidRPr="00014A51" w:rsidRDefault="00014A51" w:rsidP="00014A51">
      <w:pPr>
        <w:tabs>
          <w:tab w:val="left" w:pos="720"/>
          <w:tab w:val="left" w:pos="1080"/>
          <w:tab w:val="left" w:pos="1260"/>
          <w:tab w:val="left" w:pos="2340"/>
        </w:tabs>
        <w:spacing w:after="0" w:line="276" w:lineRule="auto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</w:p>
    <w:p w14:paraId="4230E63E" w14:textId="77777777" w:rsidR="00014A51" w:rsidRPr="00014A51" w:rsidRDefault="00014A51" w:rsidP="00014A51">
      <w:pPr>
        <w:tabs>
          <w:tab w:val="left" w:pos="720"/>
          <w:tab w:val="left" w:pos="1080"/>
          <w:tab w:val="left" w:pos="1260"/>
          <w:tab w:val="left" w:pos="2340"/>
        </w:tabs>
        <w:spacing w:after="0" w:line="276" w:lineRule="auto"/>
        <w:jc w:val="right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Gniezno, dnia 15 lutego 2024 r.</w:t>
      </w:r>
    </w:p>
    <w:p w14:paraId="68FDA95E" w14:textId="77777777" w:rsidR="00014A51" w:rsidRPr="00014A51" w:rsidRDefault="00014A51" w:rsidP="00014A51">
      <w:pPr>
        <w:keepNext/>
        <w:keepLines/>
        <w:spacing w:before="40" w:after="0" w:line="276" w:lineRule="auto"/>
        <w:outlineLvl w:val="5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OŚR. 6220.6.2023</w:t>
      </w:r>
    </w:p>
    <w:p w14:paraId="66577AF9" w14:textId="77777777" w:rsidR="00014A51" w:rsidRPr="00014A51" w:rsidRDefault="00014A51" w:rsidP="00014A51">
      <w:pPr>
        <w:keepNext/>
        <w:keepLines/>
        <w:spacing w:before="40" w:after="0" w:line="276" w:lineRule="auto"/>
        <w:outlineLvl w:val="5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</w:p>
    <w:p w14:paraId="45159E04" w14:textId="77777777" w:rsidR="00014A51" w:rsidRPr="00014A51" w:rsidRDefault="00014A51" w:rsidP="00014A51">
      <w:pPr>
        <w:keepNext/>
        <w:spacing w:after="0" w:line="276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b/>
          <w:bCs/>
          <w:kern w:val="0"/>
          <w:sz w:val="21"/>
          <w:szCs w:val="21"/>
          <w:lang w:eastAsia="pl-PL"/>
          <w14:ligatures w14:val="none"/>
        </w:rPr>
        <w:t>Decyzja</w:t>
      </w:r>
    </w:p>
    <w:p w14:paraId="695BC715" w14:textId="77777777" w:rsidR="00014A51" w:rsidRPr="00014A51" w:rsidRDefault="00014A51" w:rsidP="00014A51">
      <w:pPr>
        <w:spacing w:after="0" w:line="276" w:lineRule="auto"/>
        <w:jc w:val="center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b/>
          <w:bCs/>
          <w:kern w:val="0"/>
          <w:sz w:val="21"/>
          <w:szCs w:val="21"/>
          <w:lang w:eastAsia="pl-PL"/>
          <w14:ligatures w14:val="none"/>
        </w:rPr>
        <w:t>o środowiskowych uwarunkowaniach</w:t>
      </w:r>
    </w:p>
    <w:p w14:paraId="00F16359" w14:textId="77777777" w:rsidR="00014A51" w:rsidRPr="00014A51" w:rsidRDefault="00014A51" w:rsidP="00014A51">
      <w:pPr>
        <w:spacing w:after="0" w:line="276" w:lineRule="auto"/>
        <w:jc w:val="both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</w:p>
    <w:p w14:paraId="477D0454" w14:textId="77777777" w:rsidR="00014A51" w:rsidRPr="00014A51" w:rsidRDefault="00014A51" w:rsidP="00014A51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ab/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Na podstawie art. 71 ust. 1 i ust. 2 pkt 2, art. 75 ust. 1 pkt. 4, art. 84 oraz 85 ust. 1, ust. 2 pkt 2 ustawy z dnia 3 października </w:t>
      </w:r>
      <w:r w:rsidRPr="00014A51">
        <w:rPr>
          <w:rFonts w:ascii="Century Gothic" w:eastAsia="Times New Roman" w:hAnsi="Century Gothic" w:cs="Calibri"/>
          <w:bCs/>
          <w:kern w:val="0"/>
          <w:sz w:val="21"/>
          <w:szCs w:val="21"/>
          <w:lang w:eastAsia="pl-PL"/>
          <w14:ligatures w14:val="none"/>
        </w:rPr>
        <w:t xml:space="preserve">2008 roku </w:t>
      </w:r>
      <w:r w:rsidRPr="00014A51">
        <w:rPr>
          <w:rFonts w:ascii="Century Gothic" w:eastAsia="Times New Roman" w:hAnsi="Century Gothic" w:cs="Calibri"/>
          <w:bCs/>
          <w:i/>
          <w:kern w:val="0"/>
          <w:sz w:val="21"/>
          <w:szCs w:val="21"/>
          <w:lang w:eastAsia="pl-PL"/>
          <w14:ligatures w14:val="none"/>
        </w:rPr>
        <w:t xml:space="preserve">o udostępnianiu informacji </w:t>
      </w:r>
      <w:r w:rsidRPr="00014A51">
        <w:rPr>
          <w:rFonts w:ascii="Century Gothic" w:eastAsia="Times New Roman" w:hAnsi="Century Gothic" w:cs="Calibri"/>
          <w:bCs/>
          <w:i/>
          <w:kern w:val="0"/>
          <w:sz w:val="21"/>
          <w:szCs w:val="21"/>
          <w:lang w:eastAsia="pl-PL"/>
          <w14:ligatures w14:val="none"/>
        </w:rPr>
        <w:br/>
        <w:t xml:space="preserve">o środowisku i jego ochronie, udziale społeczeństwa w ochronie środowiska oraz </w:t>
      </w:r>
      <w:r w:rsidRPr="00014A51">
        <w:rPr>
          <w:rFonts w:ascii="Century Gothic" w:eastAsia="Times New Roman" w:hAnsi="Century Gothic" w:cs="Calibri"/>
          <w:bCs/>
          <w:i/>
          <w:kern w:val="0"/>
          <w:sz w:val="21"/>
          <w:szCs w:val="21"/>
          <w:lang w:eastAsia="pl-PL"/>
          <w14:ligatures w14:val="none"/>
        </w:rPr>
        <w:br/>
        <w:t>o ocenach oddziaływania na środowisko</w:t>
      </w:r>
      <w:r w:rsidRPr="00014A51">
        <w:rPr>
          <w:rFonts w:ascii="Century Gothic" w:eastAsia="Times New Roman" w:hAnsi="Century Gothic" w:cs="Calibri"/>
          <w:bCs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/Dz. U. z 2023 r., poz. 1094 ze zm./ oraz art. 104 ustawy z dnia 14 czerwca 1960 r. </w:t>
      </w:r>
      <w:r w:rsidRPr="00014A51">
        <w:rPr>
          <w:rFonts w:ascii="Century Gothic" w:eastAsia="Times New Roman" w:hAnsi="Century Gothic" w:cs="Calibri"/>
          <w:i/>
          <w:kern w:val="0"/>
          <w:sz w:val="21"/>
          <w:szCs w:val="21"/>
          <w:lang w:eastAsia="pl-PL"/>
          <w14:ligatures w14:val="none"/>
        </w:rPr>
        <w:t xml:space="preserve">kodeks postępowania administracyjnego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/Dz. U. z 2023 r., poz. 775 ze zm./, po rozpatrzeniu wniosku</w:t>
      </w:r>
      <w:r w:rsidRPr="00014A51">
        <w:rPr>
          <w:rFonts w:ascii="Century Gothic" w:eastAsia="Times New Roman" w:hAnsi="Century Gothic" w:cs="Times New Roman"/>
          <w:b/>
          <w:kern w:val="0"/>
          <w:sz w:val="21"/>
          <w:szCs w:val="21"/>
          <w14:ligatures w14:val="none"/>
        </w:rPr>
        <w:t xml:space="preserve"> Inwestora </w:t>
      </w:r>
      <w:r w:rsidRPr="00014A51">
        <w:rPr>
          <w:rFonts w:ascii="Century Gothic" w:eastAsia="Times New Roman" w:hAnsi="Century Gothic" w:cs="Times New Roman"/>
          <w:b/>
          <w:bCs/>
          <w:kern w:val="0"/>
          <w:sz w:val="21"/>
          <w:szCs w:val="21"/>
          <w14:ligatures w14:val="none"/>
        </w:rPr>
        <w:t>PVE 128 Sp. z o.o., ul. J.J. Śniadeckich 21, 85-011 Bydgoszcz (adres do korespondencji Lisi Ogon, ul. Bydgoska 20, 86-065 Łochowo)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w sprawie wydania decyzji o środowiskowych uwarunkowaniach dla przedsięwzięcia polegającego na </w:t>
      </w:r>
      <w:r w:rsidRPr="00014A51">
        <w:rPr>
          <w:rFonts w:ascii="Century Gothic" w:eastAsia="Times New Roman" w:hAnsi="Century Gothic" w:cs="Times New Roman"/>
          <w:b/>
          <w:kern w:val="0"/>
          <w:sz w:val="21"/>
          <w:szCs w:val="21"/>
          <w14:ligatures w14:val="none"/>
        </w:rPr>
        <w:t>budowie do 24 farm fotowoltaicznych o łącznej mocy do 24 MW wraz z niezbędną infrastrukturą techniczną w miejscowości Obora, Gmina Gniezno, działki nr 101/1 i 101/5</w:t>
      </w:r>
    </w:p>
    <w:p w14:paraId="221BF0CC" w14:textId="77777777" w:rsidR="00014A51" w:rsidRPr="00014A51" w:rsidRDefault="00014A51" w:rsidP="00014A51">
      <w:pPr>
        <w:spacing w:after="0" w:line="276" w:lineRule="auto"/>
        <w:ind w:left="4248"/>
        <w:jc w:val="both"/>
        <w:rPr>
          <w:rFonts w:ascii="Century Gothic" w:eastAsia="Times New Roman" w:hAnsi="Century Gothic" w:cs="Calibri"/>
          <w:b/>
          <w:kern w:val="0"/>
          <w:sz w:val="20"/>
          <w:szCs w:val="20"/>
          <w:lang w:eastAsia="pl-PL"/>
          <w14:ligatures w14:val="none"/>
        </w:rPr>
      </w:pPr>
    </w:p>
    <w:p w14:paraId="24F17EBA" w14:textId="77777777" w:rsidR="00014A51" w:rsidRPr="00014A51" w:rsidRDefault="00014A51" w:rsidP="00014A51">
      <w:pPr>
        <w:spacing w:after="0" w:line="276" w:lineRule="auto"/>
        <w:ind w:left="4248"/>
        <w:jc w:val="both"/>
        <w:rPr>
          <w:rFonts w:ascii="Century Gothic" w:eastAsia="Times New Roman" w:hAnsi="Century Gothic" w:cs="Calibri"/>
          <w:b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b/>
          <w:kern w:val="0"/>
          <w:sz w:val="21"/>
          <w:szCs w:val="21"/>
          <w:lang w:eastAsia="pl-PL"/>
          <w14:ligatures w14:val="none"/>
        </w:rPr>
        <w:t>Orzekam</w:t>
      </w:r>
    </w:p>
    <w:p w14:paraId="5F977D62" w14:textId="77777777" w:rsidR="00014A51" w:rsidRPr="00014A51" w:rsidRDefault="00014A51" w:rsidP="00014A51">
      <w:pPr>
        <w:spacing w:after="0" w:line="276" w:lineRule="auto"/>
        <w:jc w:val="center"/>
        <w:rPr>
          <w:rFonts w:ascii="Century Gothic" w:eastAsia="Times New Roman" w:hAnsi="Century Gothic" w:cs="Calibri"/>
          <w:b/>
          <w:kern w:val="0"/>
          <w:sz w:val="21"/>
          <w:szCs w:val="21"/>
          <w:lang w:eastAsia="pl-PL"/>
          <w14:ligatures w14:val="none"/>
        </w:rPr>
      </w:pPr>
    </w:p>
    <w:p w14:paraId="51B2144F" w14:textId="77777777" w:rsidR="00014A51" w:rsidRPr="00014A51" w:rsidRDefault="00014A51" w:rsidP="00014A51">
      <w:pPr>
        <w:numPr>
          <w:ilvl w:val="0"/>
          <w:numId w:val="1"/>
        </w:numPr>
        <w:spacing w:after="0" w:line="276" w:lineRule="auto"/>
        <w:jc w:val="both"/>
        <w:rPr>
          <w:rFonts w:ascii="Century Gothic" w:eastAsia="Times New Roman" w:hAnsi="Century Gothic" w:cs="Calibri"/>
          <w:b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b/>
          <w:kern w:val="0"/>
          <w:sz w:val="21"/>
          <w:szCs w:val="21"/>
          <w:lang w:eastAsia="pl-PL"/>
          <w14:ligatures w14:val="none"/>
        </w:rPr>
        <w:t xml:space="preserve">Stwierdzić brak potrzeby przeprowadzenia oceny oddziaływania na środowisko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dla przedsięwzięcia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polegającego</w:t>
      </w:r>
      <w:r w:rsidRPr="00014A51">
        <w:rPr>
          <w:rFonts w:ascii="Century Gothic" w:eastAsia="Times New Roman" w:hAnsi="Century Gothic" w:cs="Calibri"/>
          <w:bCs/>
          <w:kern w:val="0"/>
          <w:sz w:val="21"/>
          <w:szCs w:val="21"/>
          <w14:ligatures w14:val="none"/>
        </w:rPr>
        <w:t xml:space="preserve"> na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Times New Roman"/>
          <w:b/>
          <w:kern w:val="0"/>
          <w:sz w:val="21"/>
          <w:szCs w:val="21"/>
          <w14:ligatures w14:val="none"/>
        </w:rPr>
        <w:t>budowie do 24 farm fotowoltaicznych o łącznej mocy do 24 MW wraz z niezbędną infrastrukturą techniczną w miejscowości Obora, Gmina Gniezno, działki nr 101/1 i 101/5.</w:t>
      </w:r>
    </w:p>
    <w:p w14:paraId="37C1F045" w14:textId="77777777" w:rsidR="00014A51" w:rsidRPr="00014A51" w:rsidRDefault="00014A51" w:rsidP="00014A51">
      <w:pPr>
        <w:numPr>
          <w:ilvl w:val="0"/>
          <w:numId w:val="1"/>
        </w:numPr>
        <w:spacing w:after="0" w:line="276" w:lineRule="auto"/>
        <w:jc w:val="both"/>
        <w:rPr>
          <w:rFonts w:ascii="Century Gothic" w:eastAsia="Times New Roman" w:hAnsi="Century Gothic" w:cs="Calibri"/>
          <w:b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b/>
          <w:kern w:val="0"/>
          <w:sz w:val="21"/>
          <w:szCs w:val="21"/>
          <w14:ligatures w14:val="none"/>
        </w:rPr>
        <w:lastRenderedPageBreak/>
        <w:t xml:space="preserve">Określić następujące </w:t>
      </w:r>
      <w:r w:rsidRPr="00014A51">
        <w:rPr>
          <w:rFonts w:ascii="Century Gothic" w:eastAsia="Times New Roman" w:hAnsi="Century Gothic" w:cs="Calibri"/>
          <w:b/>
          <w:kern w:val="0"/>
          <w:sz w:val="21"/>
          <w:szCs w:val="21"/>
          <w:lang w:eastAsia="pl-PL"/>
          <w14:ligatures w14:val="none"/>
        </w:rPr>
        <w:t>środowiskowe uwarunkowania realizacji opisanego wyżej przedsięwzięcia:</w:t>
      </w:r>
    </w:p>
    <w:p w14:paraId="262B4B2E" w14:textId="77777777" w:rsidR="00014A51" w:rsidRPr="00014A51" w:rsidRDefault="00014A51" w:rsidP="00014A51">
      <w:pPr>
        <w:numPr>
          <w:ilvl w:val="0"/>
          <w:numId w:val="2"/>
        </w:numPr>
        <w:spacing w:after="0" w:line="276" w:lineRule="auto"/>
        <w:jc w:val="both"/>
        <w:rPr>
          <w:rFonts w:ascii="Century Gothic" w:eastAsia="Times New Roman" w:hAnsi="Century Gothic" w:cs="Calibri"/>
          <w:i/>
          <w:iCs/>
          <w:kern w:val="0"/>
          <w:sz w:val="21"/>
          <w:szCs w:val="21"/>
          <w:u w:val="single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i/>
          <w:iCs/>
          <w:kern w:val="0"/>
          <w:sz w:val="21"/>
          <w:szCs w:val="21"/>
          <w:u w:val="single"/>
          <w:lang w:eastAsia="pl-PL"/>
          <w14:ligatures w14:val="none"/>
        </w:rPr>
        <w:t>Rodzaj i miejsce realizacji przedsięwzięcia</w:t>
      </w:r>
    </w:p>
    <w:p w14:paraId="65EFDB75" w14:textId="77777777" w:rsidR="00014A51" w:rsidRPr="00014A51" w:rsidRDefault="00014A51" w:rsidP="00014A51">
      <w:pPr>
        <w:numPr>
          <w:ilvl w:val="1"/>
          <w:numId w:val="2"/>
        </w:numPr>
        <w:spacing w:after="0" w:line="276" w:lineRule="auto"/>
        <w:jc w:val="both"/>
        <w:rPr>
          <w:rFonts w:ascii="Century Gothic" w:eastAsia="Times New Roman" w:hAnsi="Century Gothic" w:cs="Calibri"/>
          <w:bCs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bCs/>
          <w:iCs/>
          <w:kern w:val="0"/>
          <w:sz w:val="21"/>
          <w:szCs w:val="21"/>
          <w14:ligatures w14:val="none"/>
        </w:rPr>
        <w:t>Budowa farm fotowoltaicznych</w:t>
      </w:r>
      <w:r w:rsidRPr="00014A51">
        <w:rPr>
          <w:rFonts w:ascii="Century Gothic" w:eastAsia="Times New Roman" w:hAnsi="Century Gothic" w:cs="Calibri"/>
          <w:bCs/>
          <w:i/>
          <w:kern w:val="0"/>
          <w:sz w:val="21"/>
          <w:szCs w:val="21"/>
          <w14:ligatures w14:val="none"/>
        </w:rPr>
        <w:t xml:space="preserve">, </w:t>
      </w:r>
      <w:r w:rsidRPr="00014A51">
        <w:rPr>
          <w:rFonts w:ascii="Century Gothic" w:eastAsia="Times New Roman" w:hAnsi="Century Gothic" w:cs="Calibri"/>
          <w:bCs/>
          <w:kern w:val="0"/>
          <w:sz w:val="21"/>
          <w:szCs w:val="21"/>
          <w:lang w:eastAsia="pl-PL"/>
          <w14:ligatures w14:val="none"/>
        </w:rPr>
        <w:t>zgodnie z charakterystyką przedsięwzięcia, która stanowi załącznik do niniejszej decyzji.</w:t>
      </w:r>
    </w:p>
    <w:p w14:paraId="3DC2F6BD" w14:textId="77777777" w:rsidR="00014A51" w:rsidRPr="00014A51" w:rsidRDefault="00014A51" w:rsidP="00014A51">
      <w:pPr>
        <w:numPr>
          <w:ilvl w:val="1"/>
          <w:numId w:val="2"/>
        </w:numPr>
        <w:spacing w:after="0" w:line="276" w:lineRule="auto"/>
        <w:jc w:val="both"/>
        <w:rPr>
          <w:rFonts w:ascii="Century Gothic" w:eastAsia="Times New Roman" w:hAnsi="Century Gothic" w:cs="Calibri"/>
          <w:bCs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bCs/>
          <w:kern w:val="0"/>
          <w:sz w:val="21"/>
          <w:szCs w:val="21"/>
          <w:lang w:eastAsia="pl-PL"/>
          <w14:ligatures w14:val="none"/>
        </w:rPr>
        <w:t>P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rzedsięwzięcie realizowane będzie </w:t>
      </w:r>
      <w:r w:rsidRPr="00014A51">
        <w:rPr>
          <w:rFonts w:ascii="Century Gothic" w:eastAsia="Times New Roman" w:hAnsi="Century Gothic" w:cs="Calibri"/>
          <w:bCs/>
          <w:kern w:val="0"/>
          <w:sz w:val="21"/>
          <w:szCs w:val="21"/>
          <w14:ligatures w14:val="none"/>
        </w:rPr>
        <w:t xml:space="preserve">na nieruchomości oznaczonej geodezyjnie jako działki nr 101/1 i 101/5, położone w miejscowości Obora, Gmina Gniezno. </w:t>
      </w:r>
    </w:p>
    <w:p w14:paraId="7B808553" w14:textId="77777777" w:rsidR="00014A51" w:rsidRPr="00014A51" w:rsidRDefault="00014A51" w:rsidP="00014A51">
      <w:pPr>
        <w:numPr>
          <w:ilvl w:val="0"/>
          <w:numId w:val="2"/>
        </w:numPr>
        <w:spacing w:after="0" w:line="276" w:lineRule="auto"/>
        <w:jc w:val="both"/>
        <w:rPr>
          <w:rFonts w:ascii="Century Gothic" w:eastAsia="Times New Roman" w:hAnsi="Century Gothic" w:cs="Calibri"/>
          <w:i/>
          <w:iCs/>
          <w:kern w:val="0"/>
          <w:sz w:val="21"/>
          <w:szCs w:val="21"/>
          <w:u w:val="single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bCs/>
          <w:i/>
          <w:iCs/>
          <w:kern w:val="0"/>
          <w:sz w:val="21"/>
          <w:szCs w:val="21"/>
          <w:u w:val="single"/>
          <w:lang w:eastAsia="pl-PL"/>
          <w14:ligatures w14:val="none"/>
        </w:rPr>
        <w:t>Warunki wykorzystania terenu w fazie realizacji i eksploatacji, ze szczególnym uwzględnieniem konieczności ochrony cennych wartości przyrodniczych, zasobów naturalnych i zabytków oraz ograniczenia uciążliwości dla terenów sąsiednich.</w:t>
      </w:r>
    </w:p>
    <w:p w14:paraId="0C87CB19" w14:textId="77777777" w:rsidR="00014A51" w:rsidRPr="00014A51" w:rsidRDefault="00014A51" w:rsidP="00014A51">
      <w:pPr>
        <w:spacing w:after="0" w:line="276" w:lineRule="auto"/>
        <w:ind w:left="720"/>
        <w:jc w:val="both"/>
        <w:rPr>
          <w:rFonts w:ascii="Century Gothic" w:eastAsia="Times New Roman" w:hAnsi="Century Gothic" w:cs="Calibri"/>
          <w:i/>
          <w:iCs/>
          <w:kern w:val="0"/>
          <w:sz w:val="21"/>
          <w:szCs w:val="21"/>
          <w:u w:val="single"/>
          <w:lang w:eastAsia="pl-PL"/>
          <w14:ligatures w14:val="none"/>
        </w:rPr>
      </w:pPr>
    </w:p>
    <w:p w14:paraId="508740FE" w14:textId="77777777" w:rsidR="00014A51" w:rsidRPr="00014A51" w:rsidRDefault="00014A51" w:rsidP="00014A51">
      <w:pPr>
        <w:numPr>
          <w:ilvl w:val="1"/>
          <w:numId w:val="2"/>
        </w:numPr>
        <w:spacing w:after="0" w:line="276" w:lineRule="auto"/>
        <w:ind w:right="9"/>
        <w:jc w:val="both"/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Wszelkie prace związane z realizacją przedmiotowego przedsięwzięcia oraz ruch pojazdów ograniczyć do pory dnia, tj. w godzinach 6:00 — 22:00.</w:t>
      </w:r>
    </w:p>
    <w:p w14:paraId="6FD531FA" w14:textId="77777777" w:rsidR="00014A51" w:rsidRPr="00014A51" w:rsidRDefault="00014A51" w:rsidP="00014A51">
      <w:pPr>
        <w:numPr>
          <w:ilvl w:val="1"/>
          <w:numId w:val="2"/>
        </w:numPr>
        <w:spacing w:after="0" w:line="276" w:lineRule="auto"/>
        <w:ind w:right="9"/>
        <w:jc w:val="both"/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Na etapie prowadzenia prac ziemnych codziennie przed rozpoczęciem prac kontrolować wykopy, a uwięzione w nich zwierzęta niezwłocznie przenosić w bezpieczne miejsce. Taką samą kontrolę przeprowadzić bezpośrednio przed zasypaniem wykopów.</w:t>
      </w:r>
    </w:p>
    <w:p w14:paraId="60EB3EA0" w14:textId="77777777" w:rsidR="00014A51" w:rsidRPr="00014A51" w:rsidRDefault="00014A51" w:rsidP="00014A51">
      <w:pPr>
        <w:numPr>
          <w:ilvl w:val="1"/>
          <w:numId w:val="2"/>
        </w:numPr>
        <w:spacing w:after="0" w:line="252" w:lineRule="auto"/>
        <w:jc w:val="both"/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Na etapie eksploatacji przedsięwzięcia koszenie roślinności pokrywającej teren elektrowni prowadzić w okresie od 1-15 sierpnia oraz od 1 listopada do 15 lutego.</w:t>
      </w:r>
    </w:p>
    <w:p w14:paraId="3BCE753D" w14:textId="77777777" w:rsidR="00014A51" w:rsidRPr="00014A51" w:rsidRDefault="00014A51" w:rsidP="00014A51">
      <w:pPr>
        <w:numPr>
          <w:ilvl w:val="1"/>
          <w:numId w:val="2"/>
        </w:numPr>
        <w:spacing w:after="0" w:line="252" w:lineRule="auto"/>
        <w:jc w:val="both"/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W porze nocnej nie stosować ciągłego oświetlenia terenu elektrowni i jej ogrodzenia.</w:t>
      </w:r>
    </w:p>
    <w:p w14:paraId="7A747B53" w14:textId="77777777" w:rsidR="00014A51" w:rsidRPr="00014A51" w:rsidRDefault="00014A51" w:rsidP="00014A51">
      <w:pPr>
        <w:numPr>
          <w:ilvl w:val="1"/>
          <w:numId w:val="2"/>
        </w:numPr>
        <w:spacing w:after="0" w:line="276" w:lineRule="auto"/>
        <w:ind w:right="9"/>
        <w:jc w:val="both"/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 xml:space="preserve">W przypadku mycia paneli fotowoltaicznych wykorzystywać do tego celu czystą wodę bez użycia środków chemicznych. </w:t>
      </w:r>
    </w:p>
    <w:p w14:paraId="61AC1B02" w14:textId="77777777" w:rsidR="00014A51" w:rsidRPr="00014A51" w:rsidRDefault="00014A51" w:rsidP="00014A51">
      <w:pPr>
        <w:numPr>
          <w:ilvl w:val="1"/>
          <w:numId w:val="2"/>
        </w:numPr>
        <w:spacing w:after="0" w:line="240" w:lineRule="auto"/>
        <w:contextualSpacing/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Nie stosować nawozów sztucznych i chemicznych środków ochrony roślin.</w:t>
      </w:r>
    </w:p>
    <w:p w14:paraId="2294FF4F" w14:textId="77777777" w:rsidR="00014A51" w:rsidRPr="00014A51" w:rsidRDefault="00014A51" w:rsidP="00014A51">
      <w:pPr>
        <w:spacing w:after="0" w:line="276" w:lineRule="auto"/>
        <w:ind w:left="1440" w:right="9"/>
        <w:jc w:val="both"/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</w:pPr>
    </w:p>
    <w:p w14:paraId="49133C89" w14:textId="77777777" w:rsidR="00014A51" w:rsidRPr="00014A51" w:rsidRDefault="00014A51" w:rsidP="00014A51">
      <w:pPr>
        <w:numPr>
          <w:ilvl w:val="0"/>
          <w:numId w:val="2"/>
        </w:numPr>
        <w:spacing w:after="0" w:line="276" w:lineRule="auto"/>
        <w:ind w:left="709" w:hanging="338"/>
        <w:jc w:val="both"/>
        <w:rPr>
          <w:rFonts w:ascii="Century Gothic" w:eastAsia="Times New Roman" w:hAnsi="Century Gothic" w:cs="Calibri"/>
          <w:bCs/>
          <w:kern w:val="0"/>
          <w:sz w:val="21"/>
          <w:szCs w:val="21"/>
          <w:u w:val="single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bCs/>
          <w:iCs/>
          <w:kern w:val="0"/>
          <w:sz w:val="21"/>
          <w:szCs w:val="21"/>
          <w:u w:val="single"/>
          <w:lang w:eastAsia="pl-PL"/>
          <w14:ligatures w14:val="none"/>
        </w:rPr>
        <w:t>Wymagania dotyczące ochrony środowiska konieczne do uwzględnienia w projekcie budowlanym:</w:t>
      </w:r>
    </w:p>
    <w:p w14:paraId="02062E83" w14:textId="77777777" w:rsidR="00014A51" w:rsidRPr="00014A51" w:rsidRDefault="00014A51" w:rsidP="00014A51">
      <w:pPr>
        <w:numPr>
          <w:ilvl w:val="1"/>
          <w:numId w:val="2"/>
        </w:numPr>
        <w:spacing w:after="0" w:line="276" w:lineRule="auto"/>
        <w:ind w:left="1418" w:right="9" w:hanging="338"/>
        <w:jc w:val="both"/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Zastosować moduły fotowoltaiczne o powierzchni antyrefleksyjnej.</w:t>
      </w:r>
    </w:p>
    <w:p w14:paraId="423309CB" w14:textId="77777777" w:rsidR="00014A51" w:rsidRPr="00014A51" w:rsidRDefault="00014A51" w:rsidP="00014A51">
      <w:pPr>
        <w:numPr>
          <w:ilvl w:val="1"/>
          <w:numId w:val="2"/>
        </w:numPr>
        <w:spacing w:after="0" w:line="276" w:lineRule="auto"/>
        <w:ind w:left="1418" w:right="9" w:hanging="338"/>
        <w:jc w:val="both"/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Wykonać ogrodzenie ażurowe bez podmurówki, z pozostawieniem minimum 0,2 m przerwy między ogrodzeniem, a gruntem.</w:t>
      </w:r>
    </w:p>
    <w:p w14:paraId="3B0B7F0D" w14:textId="77777777" w:rsidR="00014A51" w:rsidRPr="00014A51" w:rsidRDefault="00014A51" w:rsidP="00014A51">
      <w:pPr>
        <w:numPr>
          <w:ilvl w:val="1"/>
          <w:numId w:val="2"/>
        </w:numPr>
        <w:spacing w:after="0" w:line="276" w:lineRule="auto"/>
        <w:ind w:left="1418" w:right="9" w:hanging="338"/>
        <w:jc w:val="both"/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Panele słoneczne montować na wysokości minimum 0,8 m mierząc od dolnej krawędzi paneli do powierzchni ziemi.</w:t>
      </w:r>
    </w:p>
    <w:p w14:paraId="4315D915" w14:textId="77777777" w:rsidR="00014A51" w:rsidRPr="00014A51" w:rsidRDefault="00014A51" w:rsidP="00014A51">
      <w:pPr>
        <w:numPr>
          <w:ilvl w:val="1"/>
          <w:numId w:val="2"/>
        </w:numPr>
        <w:spacing w:after="0" w:line="276" w:lineRule="auto"/>
        <w:ind w:right="9"/>
        <w:jc w:val="both"/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Transformatory w liczbie do 24 sztuk umieścić w stacjach kontenerowych. W przypadku zastosowania transformatorów olejowych wyposażyć je w szczelne misy mogącą pomieścić całą zawartość oleju oraz pozostałości po ewentualnej akcji gaśniczej.</w:t>
      </w:r>
    </w:p>
    <w:p w14:paraId="3835DFC8" w14:textId="77777777" w:rsidR="00014A51" w:rsidRPr="00014A51" w:rsidRDefault="00014A51" w:rsidP="00014A51">
      <w:pPr>
        <w:numPr>
          <w:ilvl w:val="1"/>
          <w:numId w:val="2"/>
        </w:numPr>
        <w:spacing w:after="0" w:line="276" w:lineRule="auto"/>
        <w:ind w:right="9"/>
        <w:jc w:val="both"/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Magazyny energii w liczbie do 24 sztuk zrealizować jako obiekty kontenerowe o szczelnej posadzce, funkcjonujące w oparciu o technologię bateryjną.</w:t>
      </w:r>
    </w:p>
    <w:p w14:paraId="05D6DDBE" w14:textId="77777777" w:rsidR="00014A51" w:rsidRPr="00014A51" w:rsidRDefault="00014A51" w:rsidP="00014A51">
      <w:pPr>
        <w:numPr>
          <w:ilvl w:val="1"/>
          <w:numId w:val="2"/>
        </w:numPr>
        <w:spacing w:after="0" w:line="276" w:lineRule="auto"/>
        <w:ind w:right="9"/>
        <w:jc w:val="both"/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Stacje transformatorowe i magazyny energii zlokalizować w odległości co najmniej 70 m od granicy terenów wymagających ochrony akustycznej, o których mowa w przepisach odrębnych.</w:t>
      </w:r>
    </w:p>
    <w:p w14:paraId="1F056C96" w14:textId="77777777" w:rsidR="00014A51" w:rsidRPr="00014A51" w:rsidRDefault="00014A51" w:rsidP="00014A51">
      <w:pPr>
        <w:numPr>
          <w:ilvl w:val="1"/>
          <w:numId w:val="2"/>
        </w:numPr>
        <w:spacing w:after="0" w:line="276" w:lineRule="auto"/>
        <w:ind w:right="9"/>
        <w:jc w:val="both"/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 xml:space="preserve">Zastosować do 336 inwerterów o poziomie mocy akustycznej do 65 </w:t>
      </w:r>
      <w:proofErr w:type="spellStart"/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dB</w:t>
      </w:r>
      <w:proofErr w:type="spellEnd"/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 xml:space="preserve"> każdy.</w:t>
      </w:r>
    </w:p>
    <w:p w14:paraId="2E237090" w14:textId="77777777" w:rsidR="00014A51" w:rsidRPr="00014A51" w:rsidRDefault="00014A51" w:rsidP="00014A51">
      <w:pPr>
        <w:numPr>
          <w:ilvl w:val="0"/>
          <w:numId w:val="1"/>
        </w:numPr>
        <w:spacing w:after="0" w:line="276" w:lineRule="auto"/>
        <w:jc w:val="both"/>
        <w:rPr>
          <w:rFonts w:ascii="Century Gothic" w:eastAsia="Times New Roman" w:hAnsi="Century Gothic" w:cs="Calibri"/>
          <w:bCs/>
          <w:iCs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b/>
          <w:bCs/>
          <w:iCs/>
          <w:kern w:val="0"/>
          <w:sz w:val="21"/>
          <w:szCs w:val="21"/>
          <w:lang w:eastAsia="pl-PL"/>
          <w14:ligatures w14:val="none"/>
        </w:rPr>
        <w:t xml:space="preserve">Ustalić </w:t>
      </w:r>
      <w:r w:rsidRPr="00014A51">
        <w:rPr>
          <w:rFonts w:ascii="Century Gothic" w:eastAsia="Times New Roman" w:hAnsi="Century Gothic" w:cs="Calibri"/>
          <w:bCs/>
          <w:iCs/>
          <w:kern w:val="0"/>
          <w:sz w:val="21"/>
          <w:szCs w:val="21"/>
          <w:lang w:eastAsia="pl-PL"/>
          <w14:ligatures w14:val="none"/>
        </w:rPr>
        <w:t>charakterystykę planowanego przedsięwzięcia zawartą w załączniku do niniejszej decyzji jako jej integralną część.</w:t>
      </w:r>
    </w:p>
    <w:p w14:paraId="20A21563" w14:textId="77777777" w:rsidR="00014A51" w:rsidRPr="00014A51" w:rsidRDefault="00014A51" w:rsidP="00014A51">
      <w:pPr>
        <w:keepNext/>
        <w:spacing w:after="12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b/>
          <w:bCs/>
          <w:kern w:val="0"/>
          <w:sz w:val="21"/>
          <w:szCs w:val="21"/>
          <w:lang w:eastAsia="pl-PL"/>
          <w14:ligatures w14:val="none"/>
        </w:rPr>
        <w:lastRenderedPageBreak/>
        <w:t>Uzasadnienie</w:t>
      </w:r>
    </w:p>
    <w:p w14:paraId="051B3EFA" w14:textId="77777777" w:rsidR="00014A51" w:rsidRPr="00014A51" w:rsidRDefault="00014A51" w:rsidP="00014A51">
      <w:p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 xml:space="preserve">1. 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Wnioskiem z dnia 14 kwietnia 2023 r. (data wpływu 17.04.2023 r.)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 xml:space="preserve">Inwestor PVE 128 Sp. z o.o., ul. J.J. Śniadeckich 21, 85-011 Bydgoszcz (adres do korespondencji Lisi Ogon, ul. Bydgoska 20, 86-065 Łochowo),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zwrócił się do Wójta Gminy Gniezno o wydanie decyzji o środowiskowych uwarunkowaniach dla przedsięwzięcia polegającego na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 xml:space="preserve"> budowie do 24 farm fotowoltaicznych o łącznej mocy do 24 MW wraz z niezbędną infrastrukturą techniczną w miejscowości Obora, Gmina Gniezno, działki nr 101/1 i 101/5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, dołączając do wniosku kartę informacyjną przedsięwzięcia (również w wersji elektronicznej), poświadczoną przez właściwy organ mapę ewidencyjną w skali 1:5000, obejmującą przewidywany teren na którym będzie realizowane przedsięwzięcie oraz obejmującą przewidywany obszar, na który będzie oddziaływać przedsięwzięcie, mapę z zaznaczonym przewidywanym terenem, na którym będzie realizowane przedsięwzięcie oraz z zaznaczonym przewidywanym obszarem, na który będzie oddziaływać przedsięwzięcie (również w wersji elektronicznej) oraz potwierdzenie wniesienia opłaty skarbowej za wydanie decyzji o środowiskowych uwarunkowaniach.</w:t>
      </w:r>
    </w:p>
    <w:p w14:paraId="014B9F4B" w14:textId="77777777" w:rsidR="00014A51" w:rsidRPr="00014A51" w:rsidRDefault="00014A51" w:rsidP="00014A51">
      <w:pPr>
        <w:spacing w:after="0" w:line="276" w:lineRule="auto"/>
        <w:jc w:val="both"/>
        <w:rPr>
          <w:rFonts w:ascii="Century Gothic" w:eastAsia="Times New Roman" w:hAnsi="Century Gothic" w:cs="Calibri"/>
          <w:bCs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2. Planowane przedsięwzięcie należy do przedsięwzięć mogących potencjalnie znacząco oddziaływać na środowisko – wymienione jest w </w:t>
      </w:r>
      <w:r w:rsidRPr="00014A51">
        <w:rPr>
          <w:rFonts w:ascii="Century Gothic" w:eastAsia="Times New Roman" w:hAnsi="Century Gothic" w:cs="Calibri"/>
          <w:bCs/>
          <w:kern w:val="0"/>
          <w:sz w:val="21"/>
          <w:szCs w:val="21"/>
          <w:lang w:eastAsia="pl-PL"/>
          <w14:ligatures w14:val="none"/>
        </w:rPr>
        <w:t xml:space="preserve">§ </w:t>
      </w:r>
      <w:r w:rsidRPr="00014A51">
        <w:rPr>
          <w:rFonts w:ascii="Century Gothic" w:eastAsia="Times New Roman" w:hAnsi="Century Gothic" w:cs="Calibri"/>
          <w:bCs/>
          <w:kern w:val="0"/>
          <w:sz w:val="21"/>
          <w:szCs w:val="21"/>
          <w14:ligatures w14:val="none"/>
        </w:rPr>
        <w:t xml:space="preserve">3 ust. 1 pkt 54 lit. b  </w:t>
      </w:r>
      <w:r w:rsidRPr="00014A51">
        <w:rPr>
          <w:rFonts w:ascii="Century Gothic" w:eastAsia="Times New Roman" w:hAnsi="Century Gothic" w:cs="Calibri"/>
          <w:bCs/>
          <w:kern w:val="0"/>
          <w:sz w:val="21"/>
          <w:szCs w:val="21"/>
          <w:lang w:eastAsia="pl-PL"/>
          <w14:ligatures w14:val="none"/>
        </w:rPr>
        <w:t>Rozporządzenia Rady Ministrów z dnia 10 września 2019 r. w sprawie przedsięwzięć mogących znacząco oddziaływać na środowisko /Dz. U. z 2019 r. poz. 1839/.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 Wobec</w:t>
      </w:r>
      <w:r w:rsidRPr="00014A51">
        <w:rPr>
          <w:rFonts w:ascii="Century Gothic" w:eastAsia="Times New Roman" w:hAnsi="Century Gothic" w:cs="Calibri"/>
          <w:spacing w:val="24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powyż</w:t>
      </w:r>
      <w:r w:rsidRPr="00014A51">
        <w:rPr>
          <w:rFonts w:ascii="Century Gothic" w:eastAsia="Times New Roman" w:hAnsi="Century Gothic" w:cs="Calibri"/>
          <w:spacing w:val="-17"/>
          <w:kern w:val="0"/>
          <w:sz w:val="21"/>
          <w:szCs w:val="21"/>
          <w:lang w:eastAsia="pl-PL"/>
          <w14:ligatures w14:val="none"/>
        </w:rPr>
        <w:t>s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zego</w:t>
      </w:r>
      <w:r w:rsidRPr="00014A51">
        <w:rPr>
          <w:rFonts w:ascii="Century Gothic" w:eastAsia="Times New Roman" w:hAnsi="Century Gothic" w:cs="Calibri"/>
          <w:spacing w:val="46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przedmiotowe</w:t>
      </w:r>
      <w:r w:rsidRPr="00014A51">
        <w:rPr>
          <w:rFonts w:ascii="Century Gothic" w:eastAsia="Times New Roman" w:hAnsi="Century Gothic" w:cs="Calibri"/>
          <w:spacing w:val="37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przedsięwzięcie</w:t>
      </w:r>
      <w:r w:rsidRPr="00014A51">
        <w:rPr>
          <w:rFonts w:ascii="Century Gothic" w:eastAsia="Times New Roman" w:hAnsi="Century Gothic" w:cs="Calibri"/>
          <w:spacing w:val="16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zalicza</w:t>
      </w:r>
      <w:r w:rsidRPr="00014A51">
        <w:rPr>
          <w:rFonts w:ascii="Century Gothic" w:eastAsia="Times New Roman" w:hAnsi="Century Gothic" w:cs="Calibri"/>
          <w:spacing w:val="13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się do</w:t>
      </w:r>
      <w:r w:rsidRPr="00014A51">
        <w:rPr>
          <w:rFonts w:ascii="Century Gothic" w:eastAsia="Times New Roman" w:hAnsi="Century Gothic" w:cs="Calibri"/>
          <w:spacing w:val="15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przedsięwzięć</w:t>
      </w:r>
      <w:r w:rsidRPr="00014A51">
        <w:rPr>
          <w:rFonts w:ascii="Century Gothic" w:eastAsia="Times New Roman" w:hAnsi="Century Gothic" w:cs="Calibri"/>
          <w:spacing w:val="17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mogących potencjalnie </w:t>
      </w:r>
      <w:r w:rsidRPr="00014A51">
        <w:rPr>
          <w:rFonts w:ascii="Century Gothic" w:eastAsia="Times New Roman" w:hAnsi="Century Gothic" w:cs="Calibri"/>
          <w:spacing w:val="7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znacząco</w:t>
      </w:r>
      <w:r w:rsidRPr="00014A51">
        <w:rPr>
          <w:rFonts w:ascii="Century Gothic" w:eastAsia="Times New Roman" w:hAnsi="Century Gothic" w:cs="Calibri"/>
          <w:spacing w:val="-18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oddziaływać </w:t>
      </w:r>
      <w:r w:rsidRPr="00014A51">
        <w:rPr>
          <w:rFonts w:ascii="Century Gothic" w:eastAsia="Times New Roman" w:hAnsi="Century Gothic" w:cs="Calibri"/>
          <w:spacing w:val="6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na</w:t>
      </w:r>
      <w:r w:rsidRPr="00014A51">
        <w:rPr>
          <w:rFonts w:ascii="Century Gothic" w:eastAsia="Times New Roman" w:hAnsi="Century Gothic" w:cs="Calibri"/>
          <w:spacing w:val="27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środowisko,</w:t>
      </w:r>
      <w:r w:rsidRPr="00014A51">
        <w:rPr>
          <w:rFonts w:ascii="Century Gothic" w:eastAsia="Times New Roman" w:hAnsi="Century Gothic" w:cs="Calibri"/>
          <w:spacing w:val="5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dla</w:t>
      </w:r>
      <w:r w:rsidRPr="00014A51">
        <w:rPr>
          <w:rFonts w:ascii="Century Gothic" w:eastAsia="Times New Roman" w:hAnsi="Century Gothic" w:cs="Calibri"/>
          <w:spacing w:val="42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których</w:t>
      </w:r>
      <w:r w:rsidRPr="00014A51">
        <w:rPr>
          <w:rFonts w:ascii="Century Gothic" w:eastAsia="Times New Roman" w:hAnsi="Century Gothic" w:cs="Calibri"/>
          <w:spacing w:val="48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obowiązek</w:t>
      </w:r>
      <w:r w:rsidRPr="00014A51">
        <w:rPr>
          <w:rFonts w:ascii="Century Gothic" w:eastAsia="Times New Roman" w:hAnsi="Century Gothic" w:cs="Calibri"/>
          <w:spacing w:val="-4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w w:val="102"/>
          <w:kern w:val="0"/>
          <w:sz w:val="21"/>
          <w:szCs w:val="21"/>
          <w:lang w:eastAsia="pl-PL"/>
          <w14:ligatures w14:val="none"/>
        </w:rPr>
        <w:t>przeprowa</w:t>
      </w:r>
      <w:r w:rsidRPr="00014A51">
        <w:rPr>
          <w:rFonts w:ascii="Century Gothic" w:eastAsia="Times New Roman" w:hAnsi="Century Gothic" w:cs="Calibri"/>
          <w:spacing w:val="11"/>
          <w:w w:val="103"/>
          <w:kern w:val="0"/>
          <w:sz w:val="21"/>
          <w:szCs w:val="21"/>
          <w:lang w:eastAsia="pl-PL"/>
          <w14:ligatures w14:val="none"/>
        </w:rPr>
        <w:t>d</w:t>
      </w:r>
      <w:r w:rsidRPr="00014A51">
        <w:rPr>
          <w:rFonts w:ascii="Century Gothic" w:eastAsia="Times New Roman" w:hAnsi="Century Gothic" w:cs="Calibri"/>
          <w:w w:val="107"/>
          <w:kern w:val="0"/>
          <w:sz w:val="21"/>
          <w:szCs w:val="21"/>
          <w:lang w:eastAsia="pl-PL"/>
          <w14:ligatures w14:val="none"/>
        </w:rPr>
        <w:t>z</w:t>
      </w:r>
      <w:r w:rsidRPr="00014A51">
        <w:rPr>
          <w:rFonts w:ascii="Century Gothic" w:eastAsia="Times New Roman" w:hAnsi="Century Gothic" w:cs="Calibri"/>
          <w:spacing w:val="-3"/>
          <w:w w:val="107"/>
          <w:kern w:val="0"/>
          <w:sz w:val="21"/>
          <w:szCs w:val="21"/>
          <w:lang w:eastAsia="pl-PL"/>
          <w14:ligatures w14:val="none"/>
        </w:rPr>
        <w:t>e</w:t>
      </w:r>
      <w:r w:rsidRPr="00014A51">
        <w:rPr>
          <w:rFonts w:ascii="Century Gothic" w:eastAsia="Times New Roman" w:hAnsi="Century Gothic" w:cs="Calibri"/>
          <w:w w:val="99"/>
          <w:kern w:val="0"/>
          <w:sz w:val="21"/>
          <w:szCs w:val="21"/>
          <w:lang w:eastAsia="pl-PL"/>
          <w14:ligatures w14:val="none"/>
        </w:rPr>
        <w:t xml:space="preserve">nia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oceny</w:t>
      </w:r>
      <w:r w:rsidRPr="00014A51">
        <w:rPr>
          <w:rFonts w:ascii="Century Gothic" w:eastAsia="Times New Roman" w:hAnsi="Century Gothic" w:cs="Calibri"/>
          <w:spacing w:val="22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oddziaływania</w:t>
      </w:r>
      <w:r w:rsidRPr="00014A51">
        <w:rPr>
          <w:rFonts w:ascii="Century Gothic" w:eastAsia="Times New Roman" w:hAnsi="Century Gothic" w:cs="Calibri"/>
          <w:spacing w:val="45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na środowisko</w:t>
      </w:r>
      <w:r w:rsidRPr="00014A51">
        <w:rPr>
          <w:rFonts w:ascii="Century Gothic" w:eastAsia="Times New Roman" w:hAnsi="Century Gothic" w:cs="Calibri"/>
          <w:spacing w:val="40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może</w:t>
      </w:r>
      <w:r w:rsidRPr="00014A51">
        <w:rPr>
          <w:rFonts w:ascii="Century Gothic" w:eastAsia="Times New Roman" w:hAnsi="Century Gothic" w:cs="Calibri"/>
          <w:spacing w:val="26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być</w:t>
      </w:r>
      <w:r w:rsidRPr="00014A51">
        <w:rPr>
          <w:rFonts w:ascii="Century Gothic" w:eastAsia="Times New Roman" w:hAnsi="Century Gothic" w:cs="Calibri"/>
          <w:spacing w:val="-4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w w:val="103"/>
          <w:kern w:val="0"/>
          <w:sz w:val="21"/>
          <w:szCs w:val="21"/>
          <w:lang w:eastAsia="pl-PL"/>
          <w14:ligatures w14:val="none"/>
        </w:rPr>
        <w:t>stwierdzony.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 xml:space="preserve"> Z dniem 13.09.2023 r. weszło w życie rozporządzenie Rady Ministrów z 10 sierpnia 2023 r. (Dz.U. z 2023 r., poz. 1724) zmieniające rozporządzenie w sprawie przedsięwzięć mogących znacząco oddziaływać na środowisko, którego S 2 stanowi, że do przedsięwzięć, o których mowa w S 3 ust. 1 pkt 54 i 58 rozporządzenia zmienianego w S 1, w brzmieniu obowiązującym przed dniem jego wejścia w życie, w przypadku których przed dniem wejścia w życie tego rozporządzenia wszczęto i nie zakończono przynajmniej jednego z postępowań w sprawie wydania decyzji, zgłoszeń lub uchwał, o których mowa w art. 71 ust. 1 oraz art. 72 ust. 1lb ustawy z dnia 3 października 2008 r. o udostępnianiu informacji o środowisku i jego ochronie, udziale społeczeństwa w ochronie środowiska oraz o ocenach oddziaływania na środowisko (Dz. U. z 2023 r. poz. 1094 z </w:t>
      </w:r>
      <w:proofErr w:type="spellStart"/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>późn</w:t>
      </w:r>
      <w:proofErr w:type="spellEnd"/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 xml:space="preserve">. zm.) dalej ustawy </w:t>
      </w:r>
      <w:proofErr w:type="spellStart"/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>ooś</w:t>
      </w:r>
      <w:proofErr w:type="spellEnd"/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>, stosuje się przepisy dotychczasowe.</w:t>
      </w:r>
    </w:p>
    <w:p w14:paraId="4D2AA2A3" w14:textId="77777777" w:rsidR="00014A51" w:rsidRPr="00014A51" w:rsidRDefault="00014A51" w:rsidP="00014A51">
      <w:pPr>
        <w:spacing w:after="0" w:line="276" w:lineRule="auto"/>
        <w:jc w:val="both"/>
        <w:rPr>
          <w:rFonts w:ascii="Century Gothic" w:eastAsia="Calibri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Calibri" w:hAnsi="Century Gothic" w:cs="Calibri"/>
          <w:kern w:val="0"/>
          <w:sz w:val="21"/>
          <w:szCs w:val="21"/>
          <w:lang w:eastAsia="pl-PL"/>
          <w14:ligatures w14:val="none"/>
        </w:rPr>
        <w:t xml:space="preserve">3. Dane o wniosku zostały zamieszczone w publicznie dostępnym wykazie danych, </w:t>
      </w:r>
      <w:r w:rsidRPr="00014A51">
        <w:rPr>
          <w:rFonts w:ascii="Century Gothic" w:eastAsia="Calibri" w:hAnsi="Century Gothic" w:cs="Calibri"/>
          <w:kern w:val="0"/>
          <w:sz w:val="21"/>
          <w:szCs w:val="21"/>
          <w:lang w:eastAsia="pl-PL"/>
          <w14:ligatures w14:val="none"/>
        </w:rPr>
        <w:br/>
        <w:t>z którym można się zapoznać w Urzędzie Gminy Gniezno, al. Reymonta 9-11, pokój nr 9, w godzinach urzędowania oraz na stronie internetowej www.ekoportal.gov.pl – centrum informacji o środowisku.</w:t>
      </w:r>
    </w:p>
    <w:p w14:paraId="77AE2F5D" w14:textId="77777777" w:rsidR="00014A51" w:rsidRPr="00014A51" w:rsidRDefault="00014A51" w:rsidP="00014A51">
      <w:pPr>
        <w:spacing w:after="0" w:line="276" w:lineRule="auto"/>
        <w:contextualSpacing/>
        <w:jc w:val="both"/>
        <w:rPr>
          <w:rFonts w:ascii="Century Gothic" w:hAnsi="Century Gothic" w:cs="Times New Roman"/>
          <w:sz w:val="21"/>
          <w:szCs w:val="21"/>
        </w:rPr>
      </w:pPr>
      <w:r w:rsidRPr="00014A51">
        <w:rPr>
          <w:rFonts w:ascii="Century Gothic" w:hAnsi="Century Gothic" w:cs="Calibri"/>
          <w:w w:val="103"/>
          <w:sz w:val="21"/>
          <w:szCs w:val="21"/>
        </w:rPr>
        <w:t>4. W związku</w:t>
      </w:r>
      <w:r w:rsidRPr="00014A51">
        <w:rPr>
          <w:rFonts w:ascii="Century Gothic" w:hAnsi="Century Gothic"/>
          <w:sz w:val="21"/>
          <w:szCs w:val="21"/>
        </w:rPr>
        <w:t xml:space="preserve"> z tym, iż liczba stron przedmiotowego postępowania przekraczała 10, Wójt Gminy Gniezno zawiadomił strony postępowania administracyjnego w formie Obwieszczenia (znak OŚR. 6220.6.2023 z dnia 24 kwietnia 2023 r.,) o wszczętym w dniu 17 kwietnia 2023 r. postępowaniu w sprawie wydania decyzji o środowiskowych uwarunkowaniach dla wnioskowanego przedsięwzięcia informując o możliwości zapoznania się z aktami sprawy.</w:t>
      </w:r>
    </w:p>
    <w:p w14:paraId="705BFA85" w14:textId="77777777" w:rsidR="00014A51" w:rsidRPr="00014A51" w:rsidRDefault="00014A51" w:rsidP="00014A51">
      <w:pPr>
        <w:spacing w:after="0" w:line="276" w:lineRule="auto"/>
        <w:jc w:val="both"/>
        <w:rPr>
          <w:rFonts w:ascii="Century Gothic" w:eastAsia="Calibri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Calibri" w:hAnsi="Century Gothic" w:cs="Calibri"/>
          <w:kern w:val="0"/>
          <w:sz w:val="21"/>
          <w:szCs w:val="21"/>
          <w:lang w:eastAsia="pl-PL"/>
          <w14:ligatures w14:val="none"/>
        </w:rPr>
        <w:t xml:space="preserve">5. Zgodnie z art. 64 ust. 1 pkt 1, 2 i 4, ust. 2, 3 i 4 ustawy z dnia 3 października </w:t>
      </w:r>
      <w:r w:rsidRPr="00014A51">
        <w:rPr>
          <w:rFonts w:ascii="Century Gothic" w:eastAsia="Calibri" w:hAnsi="Century Gothic" w:cs="Calibri"/>
          <w:bCs/>
          <w:kern w:val="0"/>
          <w:sz w:val="21"/>
          <w:szCs w:val="21"/>
          <w:lang w:eastAsia="pl-PL"/>
          <w14:ligatures w14:val="none"/>
        </w:rPr>
        <w:t>2008 roku o udostępnianiu informacji o środowisku i jego ochronie, udziale społeczeństwa w ochronie środowiska oraz o ocenach oddziaływania na środowisko</w:t>
      </w:r>
      <w:r w:rsidRPr="00014A51">
        <w:rPr>
          <w:rFonts w:ascii="Century Gothic" w:eastAsia="Calibri" w:hAnsi="Century Gothic" w:cs="Calibri"/>
          <w:kern w:val="0"/>
          <w:sz w:val="21"/>
          <w:szCs w:val="21"/>
          <w:lang w:eastAsia="pl-PL"/>
          <w14:ligatures w14:val="none"/>
        </w:rPr>
        <w:t xml:space="preserve"> Organ prowadzący postępowanie wystąpił o opinię w sprawie potrzeby przeprowadzenia OOŚ i ewentualne określenie zakresu raportu do Regionalnego Dyrektora Ochrony Środowiska w Poznaniu, </w:t>
      </w:r>
      <w:r w:rsidRPr="00014A51">
        <w:rPr>
          <w:rFonts w:ascii="Century Gothic" w:eastAsia="Calibri" w:hAnsi="Century Gothic" w:cs="Calibri"/>
          <w:kern w:val="0"/>
          <w:sz w:val="21"/>
          <w:szCs w:val="21"/>
          <w:lang w:eastAsia="pl-PL"/>
          <w14:ligatures w14:val="none"/>
        </w:rPr>
        <w:lastRenderedPageBreak/>
        <w:t xml:space="preserve">Państwowego Powiatowego Inspektora Sanitarnego w Gnieźnie oraz Dyrektora Zarządu Zlewni Wód Polskich w Poznaniu. Organy te wydały następujące opinie: </w:t>
      </w:r>
    </w:p>
    <w:p w14:paraId="13A6A459" w14:textId="77777777" w:rsidR="00014A51" w:rsidRPr="00014A51" w:rsidRDefault="00014A51" w:rsidP="00014A51">
      <w:pPr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Państwowy Powiatowy Inspektor Sanitarny w Gnieźnie – Opinia sanitarna z dnia 5 maja 2023 r. znak ON-NS.9022.5.19.2023 (data wpływu 5.05.2023 r.), podtrzymana Postanowieniem z dnia 14 grudnia 2023 r. znak ON-NS.9022.5.19.2023 (data wpływu 14.12.2023 r.),</w:t>
      </w:r>
    </w:p>
    <w:p w14:paraId="7AFBB0B0" w14:textId="77777777" w:rsidR="00014A51" w:rsidRPr="00014A51" w:rsidRDefault="00014A51" w:rsidP="00014A51">
      <w:pPr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Dyrektor Zarządu Zlewni Wód Polskich w Poznaniu – Opinia z dnia 8 maja 2023 r. znak PO.ZZŚ.4.4901.233.2023.MS.1 (data wpływu 8.05.2023 r.), podtrzymana opinią z dnia 21 grudnia 2023 r. znak PO.ZZŚ.4.4901.233.2023.MS.2 (data wpływu 21.12.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br/>
        <w:t>2023 r.).</w:t>
      </w:r>
    </w:p>
    <w:p w14:paraId="24B63F48" w14:textId="77777777" w:rsidR="00014A51" w:rsidRPr="00014A51" w:rsidRDefault="00014A51" w:rsidP="00014A51">
      <w:pPr>
        <w:numPr>
          <w:ilvl w:val="0"/>
          <w:numId w:val="3"/>
        </w:numPr>
        <w:spacing w:after="0" w:line="276" w:lineRule="auto"/>
        <w:jc w:val="both"/>
        <w:rPr>
          <w:rFonts w:ascii="Century Gothic" w:eastAsia="Calibri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Calibri" w:hAnsi="Century Gothic" w:cs="Calibri"/>
          <w:kern w:val="0"/>
          <w:sz w:val="21"/>
          <w:szCs w:val="21"/>
          <w:lang w:eastAsia="pl-PL"/>
          <w14:ligatures w14:val="none"/>
        </w:rPr>
        <w:t>Regionalny Dyrektor Ochrony Środowiska w Poznaniu – Postanowienie z dnia 11 stycznia 2024 r. znak WOO-IV.4220.545.2023.KL.3 (data wpływu 11.01.2024 r.),</w:t>
      </w:r>
    </w:p>
    <w:p w14:paraId="7EA683FF" w14:textId="77777777" w:rsidR="00014A51" w:rsidRPr="00014A51" w:rsidRDefault="00014A51" w:rsidP="00014A51">
      <w:pPr>
        <w:spacing w:after="0" w:line="276" w:lineRule="auto"/>
        <w:jc w:val="both"/>
        <w:rPr>
          <w:rFonts w:ascii="Century Gothic" w:eastAsia="Calibri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Calibri" w:hAnsi="Century Gothic" w:cs="Calibri"/>
          <w:kern w:val="0"/>
          <w:sz w:val="21"/>
          <w:szCs w:val="21"/>
          <w:lang w:eastAsia="pl-PL"/>
          <w14:ligatures w14:val="none"/>
        </w:rPr>
        <w:t>stwierdzające brak potrzeby przeprowadzania oceny oddziaływania przedmiotowego przedsięwzięcia na środowisko (brak potrzeby wykonania raportu dla ww. przedsięwzięcia).</w:t>
      </w:r>
    </w:p>
    <w:p w14:paraId="5522BB7B" w14:textId="77777777" w:rsidR="00014A51" w:rsidRPr="00014A51" w:rsidRDefault="00014A51" w:rsidP="00014A51">
      <w:p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Warunki i wymagania określone w ww. dokumentach zostały uwzględnione w sentencji niniejszej decyzji. </w:t>
      </w:r>
    </w:p>
    <w:p w14:paraId="307F429D" w14:textId="77777777" w:rsidR="00014A51" w:rsidRPr="00014A51" w:rsidRDefault="00014A51" w:rsidP="00014A51">
      <w:pPr>
        <w:spacing w:after="0" w:line="276" w:lineRule="auto"/>
        <w:jc w:val="both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6.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Pismem znak WOO-IV.4220.545.2023.KL.1 z dnia 9 maja 2023 r. </w:t>
      </w:r>
      <w:r w:rsidRPr="00014A51">
        <w:rPr>
          <w:rFonts w:ascii="Century Gothic" w:eastAsia="Times New Roman" w:hAnsi="Century Gothic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(data wpływu 9.05.2023 r.)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Regionalny Dyrektor Ochrony Środowiska w Poznaniu zwrócił się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br/>
        <w:t>o uzupełnienie przedłożonych dokumentów. W związku powyższym Wójt Gminy Gniezno działając na podstawie art. 50 § 1 oraz w myśl art. 7 i 77 ustawy z dnia 14 czerwca 1960 r. Kodeks postępowania administracyjnego zwrócił się do Inwestora PVE 128 Sp. z o.o., ul. J.J. Śniadeckich 21, 85-011 Bydgoszcz (adres do korespondencji  Lisi Ogon, ul. Bydgoska 20, 86-065 Łochowo), z prośbą o uzupełnienie</w:t>
      </w:r>
      <w:r w:rsidRPr="00014A51">
        <w:rPr>
          <w:rFonts w:ascii="Century Gothic" w:eastAsia="Times New Roman" w:hAnsi="Century Gothic" w:cs="Arial"/>
          <w:b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karty informacyjnej przedsięwzięcia (</w:t>
      </w:r>
      <w:proofErr w:type="spellStart"/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k.i.p</w:t>
      </w:r>
      <w:proofErr w:type="spellEnd"/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.), w zakresie wskazanym w ww. piśmie </w:t>
      </w:r>
      <w:r w:rsidRPr="00014A51">
        <w:rPr>
          <w:rFonts w:ascii="Century Gothic" w:eastAsia="Times New Roman" w:hAnsi="Century Gothic" w:cs="Times New Roman"/>
          <w:color w:val="000000"/>
          <w:kern w:val="0"/>
          <w:sz w:val="21"/>
          <w:szCs w:val="21"/>
          <w:lang w:eastAsia="pl-PL"/>
          <w14:ligatures w14:val="none"/>
        </w:rPr>
        <w:t>Regionalnego Dyrektora Ochrony Środowiska w Poznaniu wyznaczając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 jednocześnie 21-dniowy termin spełnienia żądania wynikającego z wezwania. </w:t>
      </w:r>
    </w:p>
    <w:p w14:paraId="1D2B4E37" w14:textId="77777777" w:rsidR="00014A51" w:rsidRPr="00014A51" w:rsidRDefault="00014A51" w:rsidP="00014A51">
      <w:pPr>
        <w:widowControl w:val="0"/>
        <w:spacing w:after="0" w:line="276" w:lineRule="auto"/>
        <w:jc w:val="both"/>
        <w:rPr>
          <w:rFonts w:ascii="Century Gothic" w:eastAsia="Times New Roman" w:hAnsi="Century Gothic" w:cs="Times New Roman"/>
          <w:iCs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7. W odpowiedzi na powyższe wnioskiem z</w:t>
      </w:r>
      <w:r w:rsidRPr="00014A51">
        <w:rPr>
          <w:rFonts w:ascii="Century Gothic" w:eastAsia="Times New Roman" w:hAnsi="Century Gothic" w:cs="Times New Roman"/>
          <w:spacing w:val="14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dnia</w:t>
      </w:r>
      <w:r w:rsidRPr="00014A51">
        <w:rPr>
          <w:rFonts w:ascii="Century Gothic" w:eastAsia="Times New Roman" w:hAnsi="Century Gothic" w:cs="Times New Roman"/>
          <w:spacing w:val="41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29 maja 2023 roku (data wpływu 31.05.2023 r.) Inwestor PVE 128 Sp. z o.o., ul. J.J. Śniadeckich 21, 85-011 Bydgoszcz (adres do korespondencji Lisi Ogon, ul. Bydgoska 20, 86-065 Łochowo), zwrócił</w:t>
      </w:r>
      <w:r w:rsidRPr="00014A51">
        <w:rPr>
          <w:rFonts w:ascii="Century Gothic" w:eastAsia="Times New Roman" w:hAnsi="Century Gothic" w:cs="Times New Roman"/>
          <w:spacing w:val="48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się</w:t>
      </w:r>
      <w:r w:rsidRPr="00014A51">
        <w:rPr>
          <w:rFonts w:ascii="Century Gothic" w:eastAsia="Times New Roman" w:hAnsi="Century Gothic" w:cs="Times New Roman"/>
          <w:spacing w:val="24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do</w:t>
      </w:r>
      <w:r w:rsidRPr="00014A51">
        <w:rPr>
          <w:rFonts w:ascii="Century Gothic" w:eastAsia="Times New Roman" w:hAnsi="Century Gothic" w:cs="Times New Roman"/>
          <w:spacing w:val="38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Wójta</w:t>
      </w:r>
      <w:r w:rsidRPr="00014A51">
        <w:rPr>
          <w:rFonts w:ascii="Century Gothic" w:eastAsia="Times New Roman" w:hAnsi="Century Gothic" w:cs="Times New Roman"/>
          <w:spacing w:val="43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Gminy</w:t>
      </w:r>
      <w:r w:rsidRPr="00014A51">
        <w:rPr>
          <w:rFonts w:ascii="Century Gothic" w:eastAsia="Times New Roman" w:hAnsi="Century Gothic" w:cs="Times New Roman"/>
          <w:spacing w:val="51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Gniezno</w:t>
      </w:r>
      <w:r w:rsidRPr="00014A51">
        <w:rPr>
          <w:rFonts w:ascii="Century Gothic" w:eastAsia="Times New Roman" w:hAnsi="Century Gothic" w:cs="Times New Roman"/>
          <w:spacing w:val="57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o</w:t>
      </w:r>
      <w:r w:rsidRPr="00014A51">
        <w:rPr>
          <w:rFonts w:ascii="Century Gothic" w:eastAsia="Times New Roman" w:hAnsi="Century Gothic" w:cs="Times New Roman"/>
          <w:spacing w:val="35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zawieszenie postępowania administracyjnego w sprawie wydania </w:t>
      </w:r>
      <w:r w:rsidRPr="00014A51">
        <w:rPr>
          <w:rFonts w:ascii="Century Gothic" w:eastAsia="Times New Roman" w:hAnsi="Century Gothic" w:cs="Times New Roman"/>
          <w:w w:val="103"/>
          <w:kern w:val="0"/>
          <w:sz w:val="21"/>
          <w:szCs w:val="21"/>
          <w:lang w:eastAsia="pl-PL"/>
          <w14:ligatures w14:val="none"/>
        </w:rPr>
        <w:t xml:space="preserve">decyzji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o</w:t>
      </w:r>
      <w:r w:rsidRPr="00014A51">
        <w:rPr>
          <w:rFonts w:ascii="Century Gothic" w:eastAsia="Times New Roman" w:hAnsi="Century Gothic" w:cs="Times New Roman"/>
          <w:spacing w:val="10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Times New Roman"/>
          <w:w w:val="105"/>
          <w:kern w:val="0"/>
          <w:sz w:val="21"/>
          <w:szCs w:val="21"/>
          <w:lang w:eastAsia="pl-PL"/>
          <w14:ligatures w14:val="none"/>
        </w:rPr>
        <w:t>środowiskowych</w:t>
      </w:r>
      <w:r w:rsidRPr="00014A51">
        <w:rPr>
          <w:rFonts w:ascii="Century Gothic" w:eastAsia="Times New Roman" w:hAnsi="Century Gothic" w:cs="Times New Roman"/>
          <w:spacing w:val="9"/>
          <w:w w:val="105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Times New Roman"/>
          <w:w w:val="105"/>
          <w:kern w:val="0"/>
          <w:sz w:val="21"/>
          <w:szCs w:val="21"/>
          <w:lang w:eastAsia="pl-PL"/>
          <w14:ligatures w14:val="none"/>
        </w:rPr>
        <w:t>uwarunkowaniach</w:t>
      </w:r>
      <w:r w:rsidRPr="00014A51">
        <w:rPr>
          <w:rFonts w:ascii="Century Gothic" w:eastAsia="Times New Roman" w:hAnsi="Century Gothic" w:cs="Times New Roman"/>
          <w:spacing w:val="2"/>
          <w:w w:val="105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dla</w:t>
      </w:r>
      <w:r w:rsidRPr="00014A51">
        <w:rPr>
          <w:rFonts w:ascii="Century Gothic" w:eastAsia="Times New Roman" w:hAnsi="Century Gothic" w:cs="Times New Roman"/>
          <w:spacing w:val="20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Times New Roman"/>
          <w:w w:val="105"/>
          <w:kern w:val="0"/>
          <w:sz w:val="21"/>
          <w:szCs w:val="21"/>
          <w:lang w:eastAsia="pl-PL"/>
          <w14:ligatures w14:val="none"/>
        </w:rPr>
        <w:t>przedsięwzięcia polegającego</w:t>
      </w:r>
      <w:r w:rsidRPr="00014A51">
        <w:rPr>
          <w:rFonts w:ascii="Century Gothic" w:eastAsia="Times New Roman" w:hAnsi="Century Gothic" w:cs="Times New Roman"/>
          <w:spacing w:val="22"/>
          <w:w w:val="105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na </w:t>
      </w:r>
      <w:r w:rsidRPr="00014A51">
        <w:rPr>
          <w:rFonts w:ascii="Century Gothic" w:eastAsia="Times New Roman" w:hAnsi="Century Gothic" w:cs="Times New Roman"/>
          <w:bCs/>
          <w:kern w:val="0"/>
          <w:sz w:val="21"/>
          <w:szCs w:val="21"/>
          <w14:ligatures w14:val="none"/>
        </w:rPr>
        <w:t>budowie do 24 farm fotowoltaicznych o łącznej mocy do 24 MW wraz z niezbędną infrastrukturą techniczną w miejscowości Obora, Gmina Gniezno, działki nr 101/1 i 101/5</w:t>
      </w:r>
      <w:r w:rsidRPr="00014A51">
        <w:rPr>
          <w:rFonts w:ascii="Century Gothic" w:eastAsia="Times New Roman" w:hAnsi="Century Gothic" w:cs="Times New Roman"/>
          <w:b/>
          <w:kern w:val="0"/>
          <w:sz w:val="21"/>
          <w:szCs w:val="21"/>
          <w14:ligatures w14:val="none"/>
        </w:rPr>
        <w:t xml:space="preserve">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z uwagi na konieczność uzupełnienia karty informacyjnej przedmiotowego przedsięwzięcia. </w:t>
      </w:r>
    </w:p>
    <w:p w14:paraId="21644AE8" w14:textId="77777777" w:rsidR="00014A51" w:rsidRPr="00014A51" w:rsidRDefault="00014A51" w:rsidP="00014A51">
      <w:pPr>
        <w:shd w:val="clear" w:color="auto" w:fill="FFFFFF"/>
        <w:spacing w:after="0" w:line="276" w:lineRule="auto"/>
        <w:ind w:firstLine="708"/>
        <w:jc w:val="both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>W związku z ww. wnioskiem Inwestora Wójt Gminy Gniezno Obwieszczeniem z dnia 5 czerwca 2023 roku wydał Postanowienie o zawieszeniu przedmiotowego postępowania, informując o tym fakcie strony postępowania.</w:t>
      </w:r>
    </w:p>
    <w:p w14:paraId="1F9A5F3B" w14:textId="77777777" w:rsidR="00014A51" w:rsidRPr="00014A51" w:rsidRDefault="00014A51" w:rsidP="00014A51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8. Dnia 24 listopada 2023 roku Inwestor PVE 128 Sp. z o.o., ul. J.J. Śniadeckich 21, 85-011 Bydgoszcz (adres do korespondencji Lisi Ogon, ul. Bydgoska 20, 86-065 Łochowo), przedłożył Wójtowi Gminy Gniezno uzupełnienie karty informacyjnej dla przedmiotowego przedsięwzięcia wraz z inwentaryzacją przyrodniczą. </w:t>
      </w:r>
    </w:p>
    <w:p w14:paraId="00440FB6" w14:textId="77777777" w:rsidR="00014A51" w:rsidRPr="00014A51" w:rsidRDefault="00014A51" w:rsidP="00014A51">
      <w:pPr>
        <w:shd w:val="clear" w:color="auto" w:fill="FFFFFF"/>
        <w:spacing w:after="0" w:line="276" w:lineRule="auto"/>
        <w:ind w:firstLine="708"/>
        <w:jc w:val="both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W związku z ww. wnioskiem Inwestora Wójt Gminy Gniezno Obwieszczeniem z dnia 29 listopada 2023 roku wydał Postanowienie o podjęciu przedmiotowego postępowania, informując o tym fakcie strony postępowania. Uzupełnienie karty informacyjnej przedsięwzięcia zostało przekazane w dniu 4 grudnia 2023 roku wszystkim Organom opiniującym. </w:t>
      </w:r>
    </w:p>
    <w:p w14:paraId="4E1B7236" w14:textId="77777777" w:rsidR="00014A51" w:rsidRPr="00014A51" w:rsidRDefault="00014A51" w:rsidP="00014A51">
      <w:p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lastRenderedPageBreak/>
        <w:t xml:space="preserve">9. Wójt Gminy Gniezno na podstawie wniosku, karty informacyjnej przedsięwzięcia, wyjaśnień złożonych przez inwestora, po uwzględnieniu stanowisk organów opiniujących oraz dokładnej analizie przesłanek, wynikających z art. 63 ust. 1 pkt 1-3 ustawy z dnia 3 października 2008 roku o udostępnianiu informacji o środowisku i jego ochronie, udziale społeczeństwa w ochronie środowiska oraz o ocenach oddziaływania na środowisko,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br/>
        <w:t>a przede wszystkim takich cech przedsięwzięcia jak:</w:t>
      </w:r>
    </w:p>
    <w:p w14:paraId="0DF96B32" w14:textId="77777777" w:rsidR="00014A51" w:rsidRPr="00014A51" w:rsidRDefault="00014A51" w:rsidP="00014A51">
      <w:pPr>
        <w:spacing w:after="0" w:line="276" w:lineRule="auto"/>
        <w:ind w:left="720"/>
        <w:jc w:val="both"/>
        <w:rPr>
          <w:rFonts w:ascii="Century Gothic" w:eastAsia="Times New Roman" w:hAnsi="Century Gothic" w:cs="Times New Roman"/>
          <w:bCs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b/>
          <w:i/>
          <w:kern w:val="0"/>
          <w:sz w:val="21"/>
          <w:szCs w:val="21"/>
          <w:lang w:eastAsia="pl-PL"/>
          <w14:ligatures w14:val="none"/>
        </w:rPr>
        <w:t xml:space="preserve">1. rodzaj i charakterystyka przedsięwzięcia </w:t>
      </w:r>
      <w:r w:rsidRPr="00014A51">
        <w:rPr>
          <w:rFonts w:ascii="Century Gothic" w:eastAsia="Times New Roman" w:hAnsi="Century Gothic" w:cs="Calibri"/>
          <w:i/>
          <w:kern w:val="0"/>
          <w:sz w:val="21"/>
          <w:szCs w:val="21"/>
          <w:lang w:eastAsia="pl-PL"/>
          <w14:ligatures w14:val="none"/>
        </w:rPr>
        <w:t xml:space="preserve">(art. 63 ust. 1 pkt 1 ustawy </w:t>
      </w:r>
      <w:proofErr w:type="spellStart"/>
      <w:r w:rsidRPr="00014A51">
        <w:rPr>
          <w:rFonts w:ascii="Century Gothic" w:eastAsia="Times New Roman" w:hAnsi="Century Gothic" w:cs="Calibri"/>
          <w:i/>
          <w:kern w:val="0"/>
          <w:sz w:val="21"/>
          <w:szCs w:val="21"/>
          <w:lang w:eastAsia="pl-PL"/>
          <w14:ligatures w14:val="none"/>
        </w:rPr>
        <w:t>ooś</w:t>
      </w:r>
      <w:proofErr w:type="spellEnd"/>
      <w:r w:rsidRPr="00014A51">
        <w:rPr>
          <w:rFonts w:ascii="Century Gothic" w:eastAsia="Times New Roman" w:hAnsi="Century Gothic" w:cs="Calibri"/>
          <w:i/>
          <w:kern w:val="0"/>
          <w:sz w:val="21"/>
          <w:szCs w:val="21"/>
          <w:lang w:eastAsia="pl-PL"/>
          <w14:ligatures w14:val="none"/>
        </w:rPr>
        <w:t>)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 – planowane przedsięwzięcie polegać będzie na</w:t>
      </w:r>
      <w:r w:rsidRPr="00014A51">
        <w:rPr>
          <w:rFonts w:ascii="Century Gothic" w:eastAsia="Times New Roman" w:hAnsi="Century Gothic" w:cs="Times New Roman"/>
          <w:bCs/>
          <w:kern w:val="0"/>
          <w:sz w:val="21"/>
          <w:szCs w:val="21"/>
          <w14:ligatures w14:val="none"/>
        </w:rPr>
        <w:t xml:space="preserve"> </w:t>
      </w:r>
      <w:bookmarkStart w:id="1" w:name="_Hlk156544061"/>
      <w:r w:rsidRPr="00014A51">
        <w:rPr>
          <w:rFonts w:ascii="Century Gothic" w:eastAsia="Times New Roman" w:hAnsi="Century Gothic" w:cs="Times New Roman"/>
          <w:bCs/>
          <w:kern w:val="0"/>
          <w:sz w:val="21"/>
          <w:szCs w:val="21"/>
          <w14:ligatures w14:val="none"/>
        </w:rPr>
        <w:t>budowie do 24 farm fotowoltaicznych o łącznej mocy do 24 MW wraz z niezbędną infrastrukturą techniczną w miejscowości Obora, Gmina Gniezno, działki nr 101/1 i 101/5.</w:t>
      </w:r>
      <w:bookmarkEnd w:id="1"/>
    </w:p>
    <w:p w14:paraId="34921C68" w14:textId="77777777" w:rsidR="00014A51" w:rsidRPr="00014A51" w:rsidRDefault="00014A51" w:rsidP="00014A51">
      <w:pPr>
        <w:spacing w:after="0" w:line="276" w:lineRule="auto"/>
        <w:ind w:left="720"/>
        <w:jc w:val="both"/>
        <w:rPr>
          <w:rFonts w:ascii="Century Gothic" w:eastAsia="Times New Roman" w:hAnsi="Century Gothic" w:cs="Times New Roman"/>
          <w:bCs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Times New Roman"/>
          <w:bCs/>
          <w:kern w:val="0"/>
          <w:sz w:val="21"/>
          <w:szCs w:val="21"/>
          <w14:ligatures w14:val="none"/>
        </w:rPr>
        <w:t xml:space="preserve">Przewiduje się użycie na farmie fotowoltaicznej do 4500 sztuk paneli fotowoltaicznych na 1 MW zainstalowanej mocy (w zależności od mocy użytych paneli). Łączna liczba paneli wyniesie więc do 108000 sztuk. Całkowita wysokość instalacji wyniesie do 5 m, a odległość między rzędami do 10 m. Ponadto farma fotowoltaiczna składać się będzie z następujących elementów: 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 xml:space="preserve">paneli fotowoltaicznych, dróg wewnętrznych, linii kablowych energetyczno-światłowodowych, przyłącza elektroenergetycznego, do 24 stacji transformatorowych, do 24 magazynów energii (zespoły baterii znajdujące się w niewielkim budynku — kontenerze o wysokość do 5 m), do 336 sztuk inwerterów oraz innych niezbędnych elementów infrastruktury związanych z budową i eksploatacją parku ogniw, które służyć będą do monitoringu pracy instalacji i ochrony przed zniszczeniem i włamaniem (czujniki alarmowe). </w:t>
      </w:r>
      <w:r w:rsidRPr="00014A51">
        <w:rPr>
          <w:rFonts w:ascii="Century Gothic" w:eastAsia="Times New Roman" w:hAnsi="Century Gothic" w:cs="Times New Roman"/>
          <w:bCs/>
          <w:kern w:val="0"/>
          <w:sz w:val="21"/>
          <w:szCs w:val="21"/>
          <w14:ligatures w14:val="none"/>
        </w:rPr>
        <w:t xml:space="preserve">Podczas realizacji planowanej inwestycji, dopuszcza się jej etapowanie. W przypadku przedmiotowej inwestycji możliwa jest jej realizacja w maksymalnie 24 etapach. Przy czym zaznacza się, iż każdy etap może mieć różną moc. Sumaryczna moc zrealizowanych części nie przekroczy 24 MW. </w:t>
      </w:r>
    </w:p>
    <w:p w14:paraId="645880F2" w14:textId="77777777" w:rsidR="00014A51" w:rsidRPr="00014A51" w:rsidRDefault="00014A51" w:rsidP="00014A51">
      <w:pPr>
        <w:spacing w:after="0" w:line="276" w:lineRule="auto"/>
        <w:ind w:left="708" w:firstLine="12"/>
        <w:jc w:val="both"/>
        <w:rPr>
          <w:rFonts w:ascii="Century Gothic" w:eastAsia="Times New Roman" w:hAnsi="Century Gothic" w:cs="Times New Roman"/>
          <w:bCs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 xml:space="preserve">Całkowita powierzchnia 1 stacji transformatorowej i 1 magazynu energii wyniesie do 75 </w:t>
      </w:r>
      <w:proofErr w:type="spellStart"/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>rn</w:t>
      </w:r>
      <w:proofErr w:type="spellEnd"/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 xml:space="preserve">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vertAlign w:val="superscript"/>
          <w14:ligatures w14:val="none"/>
        </w:rPr>
        <w:t xml:space="preserve">2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>, co w przypadku planowanych farm o łącznej mocy do 24 MW daje do ok. 1800 rn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vertAlign w:val="superscript"/>
          <w14:ligatures w14:val="none"/>
        </w:rPr>
        <w:t xml:space="preserve">2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>. Rozwiązania, ograniczające potencjalny negatywny wpływ na środowisko gruntowo-wodne, zostały zawarte w warunkach wskazanych w niniejszej decyzji. Dodatkowo wskazano, aby bateryjne magazyny energii umieścić w kontenerach ze szczelnymi posadzkami, a także w przypadku transformatorów suchych zastosować szczelne posadzki.</w:t>
      </w:r>
      <w:r w:rsidRPr="00014A51">
        <w:rPr>
          <w:rFonts w:ascii="Century Gothic" w:eastAsia="Times New Roman" w:hAnsi="Century Gothic" w:cs="Times New Roman"/>
          <w:bCs/>
          <w:kern w:val="0"/>
          <w:sz w:val="21"/>
          <w:szCs w:val="21"/>
          <w14:ligatures w14:val="none"/>
        </w:rPr>
        <w:t xml:space="preserve"> W przypadku zamontowania transformatora olejowego, zostanie on wyposażony w szczelną misę, mogącą zmagazynować całą objętość oleju oraz pozostałości po ewentualnej akcji gaśniczej.</w:t>
      </w:r>
    </w:p>
    <w:p w14:paraId="3257A27A" w14:textId="77777777" w:rsidR="00014A51" w:rsidRPr="00014A51" w:rsidRDefault="00014A51" w:rsidP="00014A51">
      <w:pPr>
        <w:spacing w:after="0" w:line="276" w:lineRule="auto"/>
        <w:ind w:left="720" w:firstLine="696"/>
        <w:jc w:val="both"/>
        <w:rPr>
          <w:rFonts w:ascii="Century Gothic" w:eastAsia="Times New Roman" w:hAnsi="Century Gothic" w:cs="Arial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Arial"/>
          <w:kern w:val="0"/>
          <w:sz w:val="21"/>
          <w:szCs w:val="21"/>
          <w14:ligatures w14:val="none"/>
        </w:rPr>
        <w:t xml:space="preserve">Na podstawie informacji zawartych w Karcie informacyjnej przedsięwzięcia oraz map ustalono, że najbliższy teren chroniony akustycznie znajduje się na działce sąsiedniej, w kierunku zachodnim od działki nr 101/1 w m. Obora i stanowi teren zabudowy zagrodowej.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>Tereny zabudowy zagrodowej znajdują się w odległości ok 50 m od planowanego przedsięwzięcia.</w:t>
      </w:r>
    </w:p>
    <w:p w14:paraId="6700DEA3" w14:textId="77777777" w:rsidR="00014A51" w:rsidRPr="00014A51" w:rsidRDefault="00014A51" w:rsidP="00014A51">
      <w:pPr>
        <w:spacing w:after="0" w:line="276" w:lineRule="auto"/>
        <w:ind w:left="720"/>
        <w:jc w:val="both"/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Na etapie realizacji przedsięwzięcia źródłem emisji hałasu będą przede wszystkim urządzenia montażowe oraz pojazdy poruszające się po terenie zainwestowania.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Będą to uciążliwości krótkotrwałe i odwracalne.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 W związku z powyższym, w celu ograniczenia uciążliwości akustycznej, w niniejszej decyzji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 xml:space="preserve">nałożono warunek prowadzenia prac budowlanych oraz ruchu pojazdów wyłącznie w porze dziennej, tj. w godz. 6.00-22.00. </w:t>
      </w:r>
      <w:r w:rsidRPr="00014A51">
        <w:rPr>
          <w:rFonts w:ascii="Century Gothic" w:eastAsia="Times New Roman" w:hAnsi="Century Gothic" w:cs="Arial"/>
          <w:kern w:val="0"/>
          <w:sz w:val="21"/>
          <w:szCs w:val="21"/>
          <w14:ligatures w14:val="none"/>
        </w:rPr>
        <w:t xml:space="preserve">Na etapie eksploatacji przedsięwzięcia głównym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 xml:space="preserve">źródłem emisji hałasu będzie praca inwerterów, stacji transformatorowych i magazynów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lastRenderedPageBreak/>
        <w:t xml:space="preserve">energii. Wnioskodawca zakłada, że każdy z inwerterów będzie charakteryzować się poziomem mocy akustycznej do 65 </w:t>
      </w:r>
      <w:proofErr w:type="spellStart"/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>dB</w:t>
      </w:r>
      <w:proofErr w:type="spellEnd"/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 xml:space="preserve">. Powyższe założenia uwzględniono w warunkach niniejszej decyzji o środowiskowych uwarunkowaniach. Maksymalny poziom mocy akustycznej każdej stacji nie przekroczy 77 </w:t>
      </w:r>
      <w:proofErr w:type="spellStart"/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>dB</w:t>
      </w:r>
      <w:proofErr w:type="spellEnd"/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 xml:space="preserve">, tak samo jak każdego z magazynów energii. Z treści uzupełnienia do </w:t>
      </w:r>
      <w:proofErr w:type="spellStart"/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>k.i.p</w:t>
      </w:r>
      <w:proofErr w:type="spellEnd"/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>. wynika również, że stacje transformatorowe i magazyny energii zostaną zlokalizowane w odległości około 70 m od granicy terenów wymagających ochrony przed hałasem, czyli zabudowy zagrodowej Powyższe potwierdza również załącznik graficzny przedstawiający orientacyjne położenie poszczególnych elementów/obiektów na terenie planowanego przedsięwzięcia. Celem ograniczenia uciążliwości akustycznej w warunkach niniejszej decyzji wskazano wytyczne co do lokalizacji transformatorów i magazynów energii, liczbę planowanych transformatorów i magazynów energii, a także liczbę planowanych inwerterów wraz z ich poziomem mocy akustycznej.</w:t>
      </w:r>
    </w:p>
    <w:p w14:paraId="2769F586" w14:textId="77777777" w:rsidR="00014A51" w:rsidRPr="00014A51" w:rsidRDefault="00014A51" w:rsidP="00014A51">
      <w:pPr>
        <w:spacing w:after="0" w:line="276" w:lineRule="auto"/>
        <w:ind w:left="720"/>
        <w:jc w:val="both"/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>Z przedstawionej analizy akustycznej uwzględniającej powyższe założenia wynika, że zostaną dotrzymane dopuszczalne poziomy hałasu określone w rozporządzeniu Ministra Środowiska z dnia 14 czerwca 2007 r. w sprawie dopuszczalnych poziomów hałasu w środowisku (Dz. U. z 2014 r., poz. 112) na granicy najbliższych terenów chronionych akustycznie.</w:t>
      </w:r>
    </w:p>
    <w:p w14:paraId="26FCD525" w14:textId="77777777" w:rsidR="00014A51" w:rsidRPr="00014A51" w:rsidRDefault="00014A51" w:rsidP="00014A51">
      <w:pPr>
        <w:spacing w:after="0" w:line="276" w:lineRule="auto"/>
        <w:ind w:left="720"/>
        <w:jc w:val="both"/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Ponadto mając na uwadze przyjęte rozwiązania techniczne, w tym napięcia infrastruktury energetycznej, nie przewiduje się, aby eksploatacja inwestycji mogła powodować przekroczenie dopuszczalnych poziomów pól elektromagnetycznych w środowisku określonych w rozporządzeniu Ministra Zdrowia z dnia 17 grudnia 2019 r. w sprawie dopuszczalnych poziomów pól elektromagnetycznych w środowisku /Dz. U. z 2019 r., poz. 2448/.</w:t>
      </w:r>
    </w:p>
    <w:p w14:paraId="4C89C083" w14:textId="77777777" w:rsidR="00014A51" w:rsidRPr="00014A51" w:rsidRDefault="00014A51" w:rsidP="00014A51">
      <w:pPr>
        <w:spacing w:after="0" w:line="276" w:lineRule="auto"/>
        <w:ind w:left="720"/>
        <w:jc w:val="both"/>
        <w:rPr>
          <w:rFonts w:ascii="Century Gothic" w:eastAsia="Times New Roman" w:hAnsi="Century Gothic" w:cs="Times New Roman"/>
          <w:kern w:val="0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Planowane przedsięwzięcie, przy uwzględnieniu używanych substancji i stosowanych technologii, nie należy do zakładów o dużym lub zwiększonym ryzyku wystąpienia poważnej awarii, określonych w Rozporządzeniu Ministra Rozwoju z dnia 29 stycznia 2016 r. w sprawie rodzajów i ilości znajdujących się w zakładzie substancji niebezpiecznych, decydujących o zaliczeniu zakładu do zakładu o zwiększonym lub dużym ryzyku wystąpienia poważnej awarii przemysłowej /Dz. U. z 2016 r., poz. 138/. Ponadto uwzględniając realizację i eksploatację przedsięwzięcia zgodnie z obowiązującymi normami i przepisami, ryzyko wystąpienia katastrof budowlanych będzie ograniczone. Teren planowanego przedsięwzięcia nie jest położony w strefie zagrożenia powodziowego, w strefie zagrożonej możliwością wystąpienia osuwisk, ruchów skorupy ziemskiej, klimatycznych i możliwych zdarzeń ekstremalnych. Przyjęte rozwiązania techniczne, w tym konstrukcja paneli </w:t>
      </w:r>
      <w:r w:rsidRPr="00014A51">
        <w:rPr>
          <w:rFonts w:ascii="Century Gothic" w:eastAsia="Times New Roman" w:hAnsi="Century Gothic" w:cs="Arial"/>
          <w:kern w:val="0"/>
          <w:sz w:val="21"/>
          <w:szCs w:val="21"/>
          <w:shd w:val="clear" w:color="auto" w:fill="FFFFFF"/>
          <w14:ligatures w14:val="none"/>
        </w:rPr>
        <w:t xml:space="preserve">odporna na działanie wody, śniegu i gradu oraz zastosowane materiały o szerokim zakresie temperatury pracy i posiadające odpowiednie atesty i certyfikaty ograniczą wrażliwość przedsięwzięcia na zmiany klimatu. Ponadto </w:t>
      </w:r>
      <w:r w:rsidRPr="00014A51">
        <w:rPr>
          <w:rFonts w:ascii="Century Gothic" w:eastAsia="Times New Roman" w:hAnsi="Century Gothic" w:cs="Times New Roman"/>
          <w:kern w:val="0"/>
          <w14:ligatures w14:val="none"/>
        </w:rPr>
        <w:t>przedsięwzięcie przyczyni się do zwiększenia produkcji energii odnawialnej, a tym samym do zmniejszenia emisji zanieczyszczeń do atmosfery z innych źródeł, co może wpłynąć pozytywnie na zmiany klimatu.</w:t>
      </w:r>
    </w:p>
    <w:p w14:paraId="5BAB33C9" w14:textId="77777777" w:rsidR="00014A51" w:rsidRPr="00014A51" w:rsidRDefault="00014A51" w:rsidP="00014A51">
      <w:pPr>
        <w:spacing w:after="0" w:line="276" w:lineRule="auto"/>
        <w:ind w:left="720"/>
        <w:jc w:val="both"/>
        <w:rPr>
          <w:rFonts w:ascii="Century Gothic" w:eastAsia="Times New Roman" w:hAnsi="Century Gothic" w:cs="Arial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Arial"/>
          <w:kern w:val="0"/>
          <w:sz w:val="21"/>
          <w:szCs w:val="21"/>
          <w14:ligatures w14:val="none"/>
        </w:rPr>
        <w:t xml:space="preserve">W sąsiedztwie działki objętej wnioskiem nie ustalono dodatkowych przedsięwzięć, </w:t>
      </w:r>
      <w:r w:rsidRPr="00014A51">
        <w:rPr>
          <w:rFonts w:ascii="Century Gothic" w:eastAsia="Calibri" w:hAnsi="Century Gothic" w:cs="Arial"/>
          <w:kern w:val="0"/>
          <w:sz w:val="21"/>
          <w:szCs w:val="21"/>
          <w14:ligatures w14:val="none"/>
        </w:rPr>
        <w:t>które swym oddziaływaniem mogłyby skumulować się z potencjalnym oddziaływaniem planowanej farmy fotowoltaicznej</w:t>
      </w:r>
      <w:r w:rsidRPr="00014A51">
        <w:rPr>
          <w:rFonts w:ascii="Century Gothic" w:eastAsia="Times New Roman" w:hAnsi="Century Gothic" w:cs="Arial"/>
          <w:kern w:val="0"/>
          <w:sz w:val="21"/>
          <w:szCs w:val="21"/>
          <w14:ligatures w14:val="none"/>
        </w:rPr>
        <w:t xml:space="preserve">.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 xml:space="preserve">Najbliższe dwie inne planowane do realizacji farmy fotowoltaiczne znajdują się w odległości 0,17 km w kierunku północno-wschodnim i 1,5 km w kierunku zachodnim. Planowane elektrownie słoneczne w krajobrazie mogą być postrzegane jako jedno większe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lastRenderedPageBreak/>
        <w:t>przedsięwzięcie. Biorąc powyższe pod uwagę, jednakże uwzględniając rodzaj i charakter przedmiotowego przedsięwzięcia, złożoność oddziaływania oraz realizację przedsięwzięcia zgodnie ze wskazanymi w niniejszej decyzji warunkami, w tym dotyczącymi lokalizacji źródeł hałasu, nie przewiduje się wystąpienia ponadnormatywnego oddziaływania skumulowanego.</w:t>
      </w:r>
    </w:p>
    <w:p w14:paraId="51EE89D3" w14:textId="77777777" w:rsidR="00014A51" w:rsidRPr="00014A51" w:rsidRDefault="00014A51" w:rsidP="00014A51">
      <w:pPr>
        <w:spacing w:after="0" w:line="276" w:lineRule="auto"/>
        <w:ind w:left="720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Eksploatacja planowanego przedsięwzięcia nie będzie wiązała się ze stałym zapotrzebowaniem na wodę oraz z koniecznością odprowadzania ścieków.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>Realizacja planowanego przedsięwzięcia nie będzie związana z ingerencją w koryta cieków lub z przekształceniem zbiorników wodnych lub rowów melioracyjnych.</w:t>
      </w:r>
      <w:r w:rsidRPr="00014A51">
        <w:rPr>
          <w:rFonts w:ascii="Calibri" w:eastAsia="Times New Roman" w:hAnsi="Calibri" w:cs="Times New Roman"/>
          <w:kern w:val="0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Elektrownie fotowoltaiczne zaliczają się do obiektów bezobsługowych, których funkcjonowanie nie będzie związane z powstawaniem ścieków bytowych. </w:t>
      </w:r>
    </w:p>
    <w:p w14:paraId="472A3B65" w14:textId="77777777" w:rsidR="00014A51" w:rsidRPr="00014A51" w:rsidRDefault="00014A51" w:rsidP="00014A51">
      <w:pPr>
        <w:spacing w:after="0" w:line="276" w:lineRule="auto"/>
        <w:ind w:left="720" w:firstLine="696"/>
        <w:jc w:val="both"/>
        <w:rPr>
          <w:rFonts w:ascii="Century Gothic" w:eastAsia="Calibri" w:hAnsi="Century Gothic" w:cs="Arial"/>
          <w:spacing w:val="-1"/>
          <w:kern w:val="0"/>
          <w:sz w:val="21"/>
          <w:szCs w:val="21"/>
          <w:lang w:eastAsia="ar-SA"/>
          <w14:ligatures w14:val="none"/>
        </w:rPr>
      </w:pPr>
      <w:r w:rsidRPr="00014A51">
        <w:rPr>
          <w:rFonts w:ascii="Century Gothic" w:eastAsia="Times New Roman" w:hAnsi="Century Gothic" w:cs="Arial"/>
          <w:kern w:val="0"/>
          <w:sz w:val="21"/>
          <w:szCs w:val="21"/>
          <w:shd w:val="clear" w:color="auto" w:fill="FFFFFF"/>
          <w14:ligatures w14:val="none"/>
        </w:rPr>
        <w:t xml:space="preserve">W karcie informacyjnej przedsięwzięcia wskazano, że funkcjonowanie farmy fotowoltaicznej </w:t>
      </w:r>
      <w:r w:rsidRPr="00014A51">
        <w:rPr>
          <w:rFonts w:ascii="Century Gothic" w:eastAsia="Times New Roman" w:hAnsi="Century Gothic" w:cs="Times New Roman"/>
          <w:bCs/>
          <w:kern w:val="0"/>
          <w:sz w:val="21"/>
          <w:szCs w:val="21"/>
          <w:lang w:eastAsia="pl-PL"/>
          <w14:ligatures w14:val="none"/>
        </w:rPr>
        <w:t xml:space="preserve">nie wymaga budowy zaplecza socjalnego, ani infrastruktury wodno-kanalizacyjnej. Mycie paneli fotowoltaicznych na etapie eksploatacji przeprowadzane będzie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shd w:val="clear" w:color="auto" w:fill="FFFFFF"/>
          <w14:ligatures w14:val="none"/>
        </w:rPr>
        <w:t xml:space="preserve">przy użyciu czystej wody bez dodatków detergentów.  </w:t>
      </w:r>
      <w:r w:rsidRPr="00014A51">
        <w:rPr>
          <w:rFonts w:ascii="Century Gothic" w:eastAsia="Times New Roman" w:hAnsi="Century Gothic" w:cs="Times New Roman"/>
          <w:bCs/>
          <w:kern w:val="0"/>
          <w:sz w:val="21"/>
          <w:szCs w:val="21"/>
          <w14:ligatures w14:val="none"/>
        </w:rPr>
        <w:t>Wody opadowe i roztopowe nie będą ujmowane w systemy kanalizacyjne, będą infiltrować w grunt.</w:t>
      </w:r>
      <w:r w:rsidRPr="00014A51">
        <w:rPr>
          <w:rFonts w:ascii="Century Gothic" w:eastAsia="Times New Roman" w:hAnsi="Century Gothic" w:cs="Times New Roman"/>
          <w:bCs/>
          <w:kern w:val="0"/>
          <w:sz w:val="21"/>
          <w:szCs w:val="21"/>
          <w:lang w:eastAsia="pl-PL"/>
          <w14:ligatures w14:val="none"/>
        </w:rPr>
        <w:t xml:space="preserve"> Dodatkowo wnioskodawca planuje korzystać z przenośnych toalet, które wyposażone będą w szczelne, bezodpływowe zbiorniki na ścieki bytowe obsługiwane przez wyspecjalizowane zewnętrzne podmioty.</w:t>
      </w:r>
    </w:p>
    <w:p w14:paraId="3A356011" w14:textId="77777777" w:rsidR="00014A51" w:rsidRPr="00014A51" w:rsidRDefault="00014A51" w:rsidP="00014A51">
      <w:pPr>
        <w:spacing w:after="0" w:line="276" w:lineRule="auto"/>
        <w:ind w:left="720"/>
        <w:jc w:val="both"/>
        <w:rPr>
          <w:rFonts w:ascii="Century Gothic" w:eastAsia="Calibri" w:hAnsi="Century Gothic" w:cs="Arial"/>
          <w:spacing w:val="-1"/>
          <w:kern w:val="0"/>
          <w:sz w:val="21"/>
          <w:szCs w:val="21"/>
          <w:lang w:eastAsia="ar-SA"/>
          <w14:ligatures w14:val="none"/>
        </w:rPr>
      </w:pPr>
      <w:r w:rsidRPr="00014A51">
        <w:rPr>
          <w:rFonts w:ascii="Century Gothic" w:eastAsia="Calibri" w:hAnsi="Century Gothic" w:cs="Arial"/>
          <w:spacing w:val="-1"/>
          <w:kern w:val="0"/>
          <w:sz w:val="21"/>
          <w:szCs w:val="21"/>
          <w:lang w:eastAsia="ar-SA"/>
          <w14:ligatures w14:val="none"/>
        </w:rPr>
        <w:t>Realizacja przedsięwzięcia będzie wiązała się z zastosowaniem typowych dla tego rodzaju przedsięwzięć materiałów i surowców budowlanych, miedzy innymi takich jak: beton i stal. Na potrzeby realizacji przedsięwzięcia niezbędne będzie także zużycie paliwa, energii elektrycznej oraz wody.</w:t>
      </w:r>
    </w:p>
    <w:p w14:paraId="2CB345DE" w14:textId="77777777" w:rsidR="00014A51" w:rsidRPr="00014A51" w:rsidRDefault="00014A51" w:rsidP="00014A51">
      <w:pPr>
        <w:spacing w:after="0" w:line="276" w:lineRule="auto"/>
        <w:ind w:left="720"/>
        <w:jc w:val="both"/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 xml:space="preserve">Gospodarowanie odpadami na etapie realizacji, eksploatacji i likwidacji przedmiotowego przedsięwzięcia powinno odbywać się na zasadach określonych w aktualnie obowiązujących przepisach szczegółowych. Na etapie prac wykonawczych źródłem powstawania odpadów będą </w:t>
      </w:r>
      <w:r w:rsidRPr="00014A51">
        <w:rPr>
          <w:rFonts w:ascii="Century Gothic" w:eastAsia="Times New Roman" w:hAnsi="Century Gothic" w:cs="Arial"/>
          <w:kern w:val="0"/>
          <w:sz w:val="21"/>
          <w:szCs w:val="21"/>
          <w:shd w:val="clear" w:color="auto" w:fill="FFFFFF"/>
          <w14:ligatures w14:val="none"/>
        </w:rPr>
        <w:t>prace budowlane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 xml:space="preserve">. </w:t>
      </w:r>
      <w:r w:rsidRPr="00014A51">
        <w:rPr>
          <w:rFonts w:ascii="Century Gothic" w:eastAsia="Times New Roman" w:hAnsi="Century Gothic" w:cs="Arial"/>
          <w:kern w:val="0"/>
          <w:sz w:val="21"/>
          <w:szCs w:val="21"/>
          <w:shd w:val="clear" w:color="auto" w:fill="FFFFFF"/>
          <w14:ligatures w14:val="none"/>
        </w:rPr>
        <w:t xml:space="preserve">Powstaną wówczas głównie odpady opakowaniowe, żelazo i stal oraz odpady z budowy, które będą zbierane selektywnie do odpowiednich pojemników lub kontenerów, a następnie przekazywane do dalszego zagospodarowania. W trakcie eksploatacji wytwarzane będą jedynie odpady związane z pracami konserwatorskimi urządzeń technicznych. W przypadku awarii mogą powstać odpady niebezpieczne. </w:t>
      </w:r>
      <w:r w:rsidRPr="00014A51">
        <w:rPr>
          <w:rFonts w:ascii="Century Gothic" w:eastAsia="Times New Roman" w:hAnsi="Century Gothic" w:cs="Times New Roman"/>
          <w:kern w:val="0"/>
          <w14:ligatures w14:val="none"/>
        </w:rPr>
        <w:t>Odpady niebezpieczne stanowiące głównie sorbenty, filtry olejowe, zużyte urządzenia zawierające niebezpieczne elementy oraz transformatory nie będą magazynowane na terenie przedsięwzięcia. Bezpośrednio po ich wytworzeniu będą przekazywane uprawnionym podmiotom w celu ich zagospodarowania. Odpady powstałe na etapie likwidacji będą magazynowane w specjalnych pojemnikach i kontenerach,  odpowiednio zabezpieczone, a następnie przekazane podmiotom uprawnionym do dalszego ich zagospodarowania. Mając na uwadze powyższe nie przewiduje się negatywnego wpływu planowanego przedsięwzięcia na środowisko gruntowo-wodne w rejonie zainwestowania.</w:t>
      </w:r>
    </w:p>
    <w:p w14:paraId="748C1961" w14:textId="77777777" w:rsidR="00014A51" w:rsidRPr="00014A51" w:rsidRDefault="00014A51" w:rsidP="00014A51">
      <w:pPr>
        <w:spacing w:after="0" w:line="276" w:lineRule="auto"/>
        <w:ind w:left="720"/>
        <w:jc w:val="both"/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b/>
          <w:i/>
          <w:kern w:val="0"/>
          <w:sz w:val="21"/>
          <w:szCs w:val="21"/>
          <w:lang w:eastAsia="pl-PL"/>
          <w14:ligatures w14:val="none"/>
        </w:rPr>
        <w:t>2. usytuowanie przedsięwzięcia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i/>
          <w:kern w:val="0"/>
          <w:sz w:val="21"/>
          <w:szCs w:val="21"/>
          <w:lang w:eastAsia="pl-PL"/>
          <w14:ligatures w14:val="none"/>
        </w:rPr>
        <w:t xml:space="preserve">(art. 63 ust. 1 pkt 2 ustawy </w:t>
      </w:r>
      <w:proofErr w:type="spellStart"/>
      <w:r w:rsidRPr="00014A51">
        <w:rPr>
          <w:rFonts w:ascii="Century Gothic" w:eastAsia="Times New Roman" w:hAnsi="Century Gothic" w:cs="Calibri"/>
          <w:i/>
          <w:kern w:val="0"/>
          <w:sz w:val="21"/>
          <w:szCs w:val="21"/>
          <w:lang w:eastAsia="pl-PL"/>
          <w14:ligatures w14:val="none"/>
        </w:rPr>
        <w:t>ooś</w:t>
      </w:r>
      <w:proofErr w:type="spellEnd"/>
      <w:r w:rsidRPr="00014A51">
        <w:rPr>
          <w:rFonts w:ascii="Century Gothic" w:eastAsia="Times New Roman" w:hAnsi="Century Gothic" w:cs="Calibri"/>
          <w:i/>
          <w:kern w:val="0"/>
          <w:sz w:val="21"/>
          <w:szCs w:val="21"/>
          <w:lang w:eastAsia="pl-PL"/>
          <w14:ligatures w14:val="none"/>
        </w:rPr>
        <w:t>)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 – planowane przedsięwzięcie usytuowane będzie na nieruchomościach oznaczonych geodezyjnie jako działki nr 101/1 i 101/5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 xml:space="preserve">,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położone w miejscowości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Obora, Gmina Gniezno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. </w:t>
      </w:r>
    </w:p>
    <w:p w14:paraId="3DB6A63C" w14:textId="77777777" w:rsidR="00014A51" w:rsidRPr="00014A51" w:rsidRDefault="00014A51" w:rsidP="00014A51">
      <w:pPr>
        <w:spacing w:after="0" w:line="276" w:lineRule="auto"/>
        <w:ind w:left="708"/>
        <w:jc w:val="both"/>
        <w:rPr>
          <w:rFonts w:ascii="Century Gothic" w:eastAsia="Times New Roman" w:hAnsi="Century Gothic" w:cs="Arial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lastRenderedPageBreak/>
        <w:t xml:space="preserve">Przedsięwzięcie będzie zlokalizowane na </w:t>
      </w:r>
      <w:r w:rsidRPr="00014A51">
        <w:rPr>
          <w:rFonts w:ascii="Century Gothic" w:eastAsia="Times New Roman" w:hAnsi="Century Gothic" w:cs="Arial"/>
          <w:kern w:val="0"/>
          <w:sz w:val="21"/>
          <w:szCs w:val="21"/>
          <w14:ligatures w14:val="none"/>
        </w:rPr>
        <w:t xml:space="preserve">gruntach ornych.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 xml:space="preserve">Pomiędzy działkami przebiega droga ekspresowa S5. W otoczeniu przedsięwzięcia znajdują się grunty rolne, zabudowania mieszkalne, a w sąsiedztwie działki o numerze </w:t>
      </w:r>
      <w:proofErr w:type="spellStart"/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>ewid</w:t>
      </w:r>
      <w:proofErr w:type="spellEnd"/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 xml:space="preserve">. 101/5 znajduje się zbiornik retencyjny (techniczny) na wody opadowe z drogi ekspresowej, a na działce o numerze </w:t>
      </w:r>
      <w:proofErr w:type="spellStart"/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>ewid</w:t>
      </w:r>
      <w:proofErr w:type="spellEnd"/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 xml:space="preserve">. 101/1 znajduje się fragment rowu melioracyjnego. </w:t>
      </w:r>
      <w:r w:rsidRPr="00014A51">
        <w:rPr>
          <w:rFonts w:ascii="Century Gothic" w:eastAsia="Times New Roman" w:hAnsi="Century Gothic" w:cs="Arial"/>
          <w:kern w:val="0"/>
          <w:sz w:val="21"/>
          <w:szCs w:val="21"/>
          <w14:ligatures w14:val="none"/>
        </w:rPr>
        <w:t>Najbliższy teren chroniony akustycznie znajduje się na działce sąsiedniej, w kierunku zachodnim od działki nr 101/1 w m. Obora i stanowi teren zabudowy zagrodowej, który znajduje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 xml:space="preserve"> się w odległości ok 50 m od planowanego przedsięwzięcia.</w:t>
      </w:r>
    </w:p>
    <w:p w14:paraId="2314195A" w14:textId="77777777" w:rsidR="00014A51" w:rsidRPr="00014A51" w:rsidRDefault="00014A51" w:rsidP="00014A51">
      <w:pPr>
        <w:spacing w:after="0" w:line="276" w:lineRule="auto"/>
        <w:ind w:left="708" w:firstLine="708"/>
        <w:jc w:val="both"/>
        <w:rPr>
          <w:rFonts w:ascii="Century Gothic" w:eastAsia="Times New Roman" w:hAnsi="Century Gothic" w:cs="Arial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 xml:space="preserve">Teren przedsięwzięcia nie jest zlokalizowany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>w pobliżu obszarów wodno-błotnych. Przedmiotowe przedsięwzięcie nie znajduje się na terenie obszarów objętych ochroną, w tym stref ochronnych ujęć wód. Nie znajduje się również w granicy obszarów wybrzeży i środowiska morskiego, obszarów górskich. Przedsięwzięcie nie będzie zlokalizowane także na obszarach uzdrowiskowych i ochrony uzdrowiskowej oraz na obszarach o dużej gęstości zaludnienia. Na podstawie przedłożonych dokumentów nie stwierdzono, aby przedsięwzięcie realizowane było na obszarach, na których standardy jakości środowiska zostały przekroczone, ani nie przewiduje się ich przekroczenia w związku z realizacją i eksploatacją przedmiotowego przedsięwzięcia.</w:t>
      </w:r>
    </w:p>
    <w:p w14:paraId="551D4518" w14:textId="77777777" w:rsidR="00014A51" w:rsidRPr="00014A51" w:rsidRDefault="00014A51" w:rsidP="00014A51">
      <w:pPr>
        <w:spacing w:after="0" w:line="276" w:lineRule="auto"/>
        <w:ind w:left="720" w:firstLine="696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Planowane przedsięwzięcie zlokalizowane jest w granicach jednolitej części wód podziemnych (</w:t>
      </w:r>
      <w:proofErr w:type="spellStart"/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JCWPd</w:t>
      </w:r>
      <w:proofErr w:type="spellEnd"/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) o kodzie GW600042, która charakteryzuje się dobrym stanem ilościowym oraz dobrym stanem chemicznym i jest niezagrożona osiągnięciem celów środowiskowych. Dla </w:t>
      </w:r>
      <w:proofErr w:type="spellStart"/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JCWPd</w:t>
      </w:r>
      <w:proofErr w:type="spellEnd"/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 GW600042 w „Planie gospodarowania wodami na obszarze dorzecza Odry” określono następujące cele środowiskowe: utrzymanie dobrego stanu chemicznego oraz dobrego stanu ilościowego. </w:t>
      </w:r>
    </w:p>
    <w:p w14:paraId="5EF09AC9" w14:textId="77777777" w:rsidR="00014A51" w:rsidRPr="00014A51" w:rsidRDefault="00014A51" w:rsidP="00014A51">
      <w:pPr>
        <w:spacing w:after="0" w:line="276" w:lineRule="auto"/>
        <w:ind w:left="720" w:firstLine="696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Teren planowanej inwestycji znajduje się w granicach jednolitych części wód powierzchniowych (JCWP) o kodzie: RW6000181866539 Mała Wełna do jez. </w:t>
      </w:r>
      <w:proofErr w:type="spellStart"/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Gorzuchowskiego</w:t>
      </w:r>
      <w:proofErr w:type="spellEnd"/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 i posiada status naturalnej części wód, jej stan jest zły i zgodnie z oceną ryzyka nieosiągnięcia celu środowiskowego została określona jako zagrożona. Celem środowiskowym dla tej JCWP jest uzyskanie umiarkowanego stanu ekologicznego i dobrego stanu chemicznego.  </w:t>
      </w:r>
    </w:p>
    <w:p w14:paraId="4F6EEE88" w14:textId="77777777" w:rsidR="00014A51" w:rsidRPr="00014A51" w:rsidRDefault="00014A51" w:rsidP="00014A51">
      <w:pPr>
        <w:spacing w:after="0" w:line="276" w:lineRule="auto"/>
        <w:ind w:left="720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Przedsięwzięcie nie będzie negatywnie wpływać na jednolite części wód i nie będzie także stwarzać zagrożenia dla realizacji celów środowiskowych, o których mowa w art. 56, art. 57, art. 59 i art. 61 ustawy z dnia 20 lipca 2017 r. — Prawo wodne, a określonych dla tych części wód w „Planie gospodarowania wodami na obszarze dorzecza Odry”, przyjętym rozporządzeniem Ministra Infrastruktury z dnia 16 listopada 2016 r. (Dz.U. z 2023 r., poz. 335).</w:t>
      </w:r>
    </w:p>
    <w:p w14:paraId="6DC1A541" w14:textId="77777777" w:rsidR="00014A51" w:rsidRPr="00014A51" w:rsidRDefault="00014A51" w:rsidP="00014A51">
      <w:pPr>
        <w:spacing w:after="0" w:line="276" w:lineRule="auto"/>
        <w:ind w:left="720" w:firstLine="696"/>
        <w:jc w:val="both"/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Obszar przeznaczony pod planowaną farmę fotowoltaiczną zlokalizowany jest poza obszarami chronionymi na podstawie ustawy z 16 kwietnia 2004 r.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br/>
        <w:t xml:space="preserve">o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ochronie przyrody /Dz. U. z 2023 r. poz. 1336 ze zm./. </w:t>
      </w:r>
      <w:r w:rsidRPr="00014A51">
        <w:rPr>
          <w:rFonts w:ascii="Century Gothic" w:eastAsia="Calibri" w:hAnsi="Century Gothic" w:cs="Times New Roman"/>
          <w:bCs/>
          <w:kern w:val="0"/>
          <w:sz w:val="21"/>
          <w:szCs w:val="21"/>
          <w14:ligatures w14:val="none"/>
        </w:rPr>
        <w:t xml:space="preserve">Najbliższym obszarem Natura 2000 jest specjalny obszar ochrony siedlisk Pojezierze Gnieźnieńskie PLH300026 oddalony od terenu przedsięwzięcia o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 xml:space="preserve">10,7 km i specjalny obszar ochrony siedlisk Grądy w Czerniejewie PLH300049, oddalony o 10,9 km od przedsięwzięcia. Realizacja przedsięwzięcia nie będzie związana z wycinką drzew i krzewów. </w:t>
      </w:r>
    </w:p>
    <w:p w14:paraId="38EDA440" w14:textId="77777777" w:rsidR="00014A51" w:rsidRPr="00014A51" w:rsidRDefault="00014A51" w:rsidP="00014A51">
      <w:pPr>
        <w:spacing w:after="0" w:line="276" w:lineRule="auto"/>
        <w:ind w:left="720" w:firstLine="696"/>
        <w:jc w:val="both"/>
        <w:rPr>
          <w:rFonts w:ascii="Century Gothic" w:eastAsia="Times New Roman" w:hAnsi="Century Gothic" w:cs="Arial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Arial"/>
          <w:kern w:val="0"/>
          <w:sz w:val="21"/>
          <w:szCs w:val="21"/>
          <w14:ligatures w14:val="none"/>
        </w:rPr>
        <w:t>Na etapie eksploatacji przedsięwzięcia powierzchnia elektrowni pozostawiona zostanie do naturalnej sukcesji lub zostanie obsiana roślinnością trawiastą. Roślinność pokrywająca obszar zainwestowania będzie wykaszana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. </w:t>
      </w:r>
      <w:r w:rsidRPr="00014A51">
        <w:rPr>
          <w:rFonts w:ascii="Century Gothic" w:eastAsia="Times New Roman" w:hAnsi="Century Gothic" w:cs="Arial"/>
          <w:bCs/>
          <w:kern w:val="0"/>
          <w:sz w:val="21"/>
          <w:szCs w:val="21"/>
          <w14:ligatures w14:val="none"/>
        </w:rPr>
        <w:lastRenderedPageBreak/>
        <w:t>W celu ochrony ptaków lęgowych oraz w związku z obecnością zbiorników wodnych i rowów melioracyjnych nałożono w decyzji warunek koszenia terenu elektrowni na etapie eksploatacji przedsięwzięcia poza okresem lęgowym ptaków, który dla większości gatunków ptaków krajobrazu rolniczego przypada przeciętnie od 1 marca do 31 lipca oraz poza okresem migracji płazów. Wiosenny okres migracji dla większości gatunków płazów w Polsce przypada przeciętnie od 15 lutego do końca maja, natomiast jesienny okres migracji przypada przeciętnie od 15 sierpnia do końca października</w:t>
      </w:r>
      <w:r w:rsidRPr="00014A51">
        <w:rPr>
          <w:rFonts w:ascii="Century Gothic" w:eastAsia="Times New Roman" w:hAnsi="Century Gothic" w:cs="Arial"/>
          <w:kern w:val="0"/>
          <w:sz w:val="21"/>
          <w:szCs w:val="21"/>
          <w14:ligatures w14:val="none"/>
        </w:rPr>
        <w:t xml:space="preserve">. </w:t>
      </w:r>
    </w:p>
    <w:p w14:paraId="0FC30BFC" w14:textId="77777777" w:rsidR="00014A51" w:rsidRPr="00014A51" w:rsidRDefault="00014A51" w:rsidP="00014A51">
      <w:pPr>
        <w:spacing w:after="0" w:line="276" w:lineRule="auto"/>
        <w:ind w:left="720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W niniejszej decyzji wskazano ponadto warunek montażu paneli słonecznych na wysokości co najmniej 0,8 m nad ziemią co pozwoli na rozwój roślinności i w konsekwencji, umożliwi ptakom wyprowadzenie lęgów, roślinom zawiązywanie nasion, a także pozwoli ograniczyć zacienienie paneli słonecznych przez roślinność. </w:t>
      </w:r>
      <w:r w:rsidRPr="00014A51">
        <w:rPr>
          <w:rFonts w:ascii="Century Gothic" w:eastAsia="Times New Roman" w:hAnsi="Century Gothic" w:cs="Arial"/>
          <w:kern w:val="0"/>
          <w:sz w:val="21"/>
          <w:szCs w:val="21"/>
          <w14:ligatures w14:val="none"/>
        </w:rPr>
        <w:t xml:space="preserve">Aby ograniczyć powierzchniowy spływ biogenów oraz substancji chemicznych nałożono warunek rezygnacji ze stosowania nawozów sztucznych i chemicznych środków ochrony roślin. W ramach realizacji inwestycji sieć energetyczna wykonana zostanie jako kablowa podziemna.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W celu ochrony zwierząt na etapie prowadzenia prac ziemnych oraz umożliwienia migracji drobnym zwierzętom na etapie eksploatacji przedsięwzięcia nałożono warunek wykonania ażurowego ogrodzenia bez podmurówki z pozostawieniem minimum 0,2 m przerwy między ogrodzeniem, a gruntem. W celu ochrony zwierząt na etapie prowadzenia prac ziemnych w decyzji nałożono warunek prowadzenia regularnych kontroli wykopów oraz uwalniania uwięzionych w nich zwierząt. </w:t>
      </w:r>
    </w:p>
    <w:p w14:paraId="48AF8921" w14:textId="77777777" w:rsidR="00014A51" w:rsidRPr="00014A51" w:rsidRDefault="00014A51" w:rsidP="00014A51">
      <w:pPr>
        <w:spacing w:after="0" w:line="276" w:lineRule="auto"/>
        <w:ind w:left="720" w:firstLine="696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W niniejszej decyzji, w celu ograniczenia efektu olśnienia wskazano także warunek zastosowania paneli słonecznych o powierzchni antyrefleksyjnej, co ograniczy negatywne oddziaływanie na ludzi i ptaki. 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>W celu ograniczenia wpływu przedsięwzięcia na krajobraz stoły montażowe pod panelami i ogrodzenie wykonane zostaną w kolorach szarości lub zieleni. W celu minimalizacji oddziaływania na ludzi i przyrodę ożywioną nałożono w opinii warunek rezygnacji z ciągłego oświetlenia terenu elektrowni i jej ogrodzenia w porze nocnej.</w:t>
      </w:r>
    </w:p>
    <w:p w14:paraId="112C94E0" w14:textId="77777777" w:rsidR="00014A51" w:rsidRPr="00014A51" w:rsidRDefault="00014A51" w:rsidP="00014A51">
      <w:pPr>
        <w:spacing w:after="0" w:line="276" w:lineRule="auto"/>
        <w:ind w:left="720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Mając na względzie lokalizację planowanego przedsięwzięcia poza obszarami chronionymi, na gruntach  rolnych oraz realizację przedsięwzięcia zgodnie z nałożonymi warunkami, nie przewiduje się znaczącego negatywnego oddziaływania inwestycji na środowisko przyrodnicze, w tym na różnorodność biologiczną, rozumianą jako liczebność i kondycję populacji występujących gatunków, w szczególności chronionych, rzadkich lub ginących gatunków roślin, zwierząt i grzybów oraz ich siedlisk. </w:t>
      </w:r>
    </w:p>
    <w:p w14:paraId="76581FB3" w14:textId="77777777" w:rsidR="00014A51" w:rsidRPr="00014A51" w:rsidRDefault="00014A51" w:rsidP="00014A51">
      <w:pPr>
        <w:spacing w:after="0" w:line="276" w:lineRule="auto"/>
        <w:ind w:left="720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Realizacja przedsięwzięcia nie wpłynie także na obszary chronione, a w szczególności na siedliska przyrodnicze, gatunki roślin, grzybów i zwierząt oraz ich siedliska, dla których ochrony zostały wyznaczone obszary Natura 2000, ani pogorszenia integralności obszarów Natura 2000 lub powiązania z innymi obszarami. Ponadto przedsięwzięcie nie spowoduje utraty i fragmentacji siedlisk oraz nie wpłynie na ciągłość korytarzy ekologicznych i funkcję ekosystemu.</w:t>
      </w:r>
    </w:p>
    <w:p w14:paraId="2DC51D6D" w14:textId="77777777" w:rsidR="00014A51" w:rsidRPr="00014A51" w:rsidRDefault="00014A51" w:rsidP="00014A51">
      <w:pPr>
        <w:spacing w:after="0" w:line="276" w:lineRule="auto"/>
        <w:ind w:left="720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b/>
          <w:i/>
          <w:kern w:val="0"/>
          <w:sz w:val="21"/>
          <w:szCs w:val="21"/>
          <w:lang w:eastAsia="pl-PL"/>
          <w14:ligatures w14:val="none"/>
        </w:rPr>
        <w:t>3. rodzaj i skala możliwego oddziaływania przedsięwzięcia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 </w:t>
      </w:r>
      <w:r w:rsidRPr="00014A51">
        <w:rPr>
          <w:rFonts w:ascii="Century Gothic" w:eastAsia="Times New Roman" w:hAnsi="Century Gothic" w:cs="Calibri"/>
          <w:i/>
          <w:kern w:val="0"/>
          <w:sz w:val="21"/>
          <w:szCs w:val="21"/>
          <w:lang w:eastAsia="pl-PL"/>
          <w14:ligatures w14:val="none"/>
        </w:rPr>
        <w:t xml:space="preserve">(art. 63 ust. 1 pkt 3 ustawy </w:t>
      </w:r>
      <w:proofErr w:type="spellStart"/>
      <w:r w:rsidRPr="00014A51">
        <w:rPr>
          <w:rFonts w:ascii="Century Gothic" w:eastAsia="Times New Roman" w:hAnsi="Century Gothic" w:cs="Calibri"/>
          <w:i/>
          <w:kern w:val="0"/>
          <w:sz w:val="21"/>
          <w:szCs w:val="21"/>
          <w:lang w:eastAsia="pl-PL"/>
          <w14:ligatures w14:val="none"/>
        </w:rPr>
        <w:t>ooś</w:t>
      </w:r>
      <w:proofErr w:type="spellEnd"/>
      <w:r w:rsidRPr="00014A51">
        <w:rPr>
          <w:rFonts w:ascii="Century Gothic" w:eastAsia="Times New Roman" w:hAnsi="Century Gothic" w:cs="Calibri"/>
          <w:i/>
          <w:kern w:val="0"/>
          <w:sz w:val="21"/>
          <w:szCs w:val="21"/>
          <w:lang w:eastAsia="pl-PL"/>
          <w14:ligatures w14:val="none"/>
        </w:rPr>
        <w:t>)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, które z racji swojego charakteru nie pociąga za sobą zagrożeń,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br/>
        <w:t>a tym bardziej znaczących oddziaływań, ze względu na:</w:t>
      </w:r>
    </w:p>
    <w:p w14:paraId="7E069AC3" w14:textId="77777777" w:rsidR="00014A51" w:rsidRPr="00014A51" w:rsidRDefault="00014A51" w:rsidP="00014A51">
      <w:pPr>
        <w:numPr>
          <w:ilvl w:val="0"/>
          <w:numId w:val="4"/>
        </w:num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zasięg, wielkość i złożoność oddziaływania,  jego  prawdopodobieństwo,  czas  trwania, częstotliwość i odwracalność, możliwości ograniczenia oddziaływania,</w:t>
      </w:r>
    </w:p>
    <w:p w14:paraId="5E6C2592" w14:textId="77777777" w:rsidR="00014A51" w:rsidRPr="00014A51" w:rsidRDefault="00014A51" w:rsidP="00014A51">
      <w:pPr>
        <w:numPr>
          <w:ilvl w:val="0"/>
          <w:numId w:val="4"/>
        </w:num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lastRenderedPageBreak/>
        <w:t xml:space="preserve">brak transgranicznego oddziaływania, </w:t>
      </w:r>
    </w:p>
    <w:p w14:paraId="75EA4041" w14:textId="77777777" w:rsidR="00014A51" w:rsidRPr="00014A51" w:rsidRDefault="00014A51" w:rsidP="00014A51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 xml:space="preserve">uznał, że po zrealizowaniu przez Inwestora wszystkich warunków zawartych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br/>
        <w:t>w przedłożonych dokumentach oraz w niniejszej decyzji, planowane przedsięwzięcie będzie zgodne z wymaganiami przepisów o ochronie środowiska. Jednocześnie uwzględniając fakt, że w toku prowadzonego postępowania odstąpiono od obowiązku przeprowadzenia oceny oddziaływania przedsięwzięcia na środowisko, tutejszy organ, zgodnie z art. 84 ww. ustawy stwierdził w niniejszej decyzji brak potrzeby przeprowadzenia oceny oddziaływania przedsięwzięcia na środowisko.</w:t>
      </w:r>
    </w:p>
    <w:p w14:paraId="36B0053C" w14:textId="77777777" w:rsidR="00014A51" w:rsidRPr="00014A51" w:rsidRDefault="00014A51" w:rsidP="00014A51">
      <w:p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7. Dla terenu (działki nr 101/1 i 101/5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 xml:space="preserve">,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położone w miejscowości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>Obora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), na którym ma być zlokalizowane przedsięwzięcie nie istnieje uchwalony miejscowy plan zagospodarowania przestrzennego. </w:t>
      </w:r>
    </w:p>
    <w:p w14:paraId="19C59FF2" w14:textId="77777777" w:rsidR="00014A51" w:rsidRPr="00014A51" w:rsidRDefault="00014A51" w:rsidP="00014A51">
      <w:p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>8. Stosownie do art. 10 ustawy z dnia 14 czerwca 1960 r. Kodeks postępowania administracyjnego /Dz. U. 2023 r., poz. 775 ze zm./, przed wydaniem decyzji umożliwiono stronom wypowiedzenie, co do zebranych dowodów i materiałów oraz zgłoszonych żądań. Z powyższej możliwości strony nie skorzystały.</w:t>
      </w:r>
    </w:p>
    <w:p w14:paraId="4D95D5E3" w14:textId="77777777" w:rsidR="00014A51" w:rsidRPr="00014A51" w:rsidRDefault="00014A51" w:rsidP="00014A51">
      <w:pPr>
        <w:spacing w:after="0" w:line="276" w:lineRule="auto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9. Wójt Gminy Gniezno po przeprowadzeniu analizy dokumentacji, stwierdził, że zebrane materiały są wystarczające do zajęcia stanowiska w przedmiotowej sprawie. Wszelkie zarzuty stron postępowania mogą być formułowane w odwołaniu od decyzji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br/>
        <w:t>o środowiskowych uwarunkowaniach i skierowane do organu właściwego do ich rozpatrzenia.</w:t>
      </w:r>
    </w:p>
    <w:p w14:paraId="083B508B" w14:textId="77777777" w:rsidR="00014A51" w:rsidRPr="00014A51" w:rsidRDefault="00014A51" w:rsidP="00014A51">
      <w:pPr>
        <w:keepNext/>
        <w:spacing w:after="12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Pouczenie</w:t>
      </w:r>
    </w:p>
    <w:p w14:paraId="668D8743" w14:textId="77777777" w:rsidR="00014A51" w:rsidRPr="00014A51" w:rsidRDefault="00014A51" w:rsidP="00014A51">
      <w:pPr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0"/>
          <w:szCs w:val="20"/>
          <w14:ligatures w14:val="none"/>
        </w:rPr>
        <w:t>Od niniejszej decyzji przysługuje stronom odwołanie do Samorządowego Kolegium Odwoławczego w Poznaniu za pośrednictwem Wójta Gminy Gniezno w terminie 14 dni od dnia doręczenia niniejszej decyzji.</w:t>
      </w:r>
    </w:p>
    <w:p w14:paraId="5E8AF9F8" w14:textId="77777777" w:rsidR="00014A51" w:rsidRPr="00014A51" w:rsidRDefault="00014A51" w:rsidP="00014A51">
      <w:pPr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14:ligatures w14:val="none"/>
        </w:rPr>
      </w:pPr>
      <w:r w:rsidRPr="00014A5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/>
          <w14:ligatures w14:val="none"/>
        </w:rPr>
        <w:t>Przed upływem terminu</w:t>
      </w:r>
      <w:r w:rsidRPr="00014A51">
        <w:rPr>
          <w:rFonts w:ascii="Century Gothic" w:eastAsia="Times New Roman" w:hAnsi="Century Gothic" w:cs="Times New Roman"/>
          <w:kern w:val="0"/>
          <w:sz w:val="20"/>
          <w:szCs w:val="20"/>
          <w:lang w:eastAsia="ar-SA"/>
          <w14:ligatures w14:val="none"/>
        </w:rPr>
        <w:t xml:space="preserve"> do wniesienia odwołania strona może zrzec się prawa do wniesienia odwołania </w:t>
      </w:r>
      <w:r w:rsidRPr="00014A51">
        <w:rPr>
          <w:rFonts w:ascii="Century Gothic" w:eastAsia="Times New Roman" w:hAnsi="Century Gothic" w:cs="Times New Roman"/>
          <w:kern w:val="0"/>
          <w:sz w:val="20"/>
          <w:szCs w:val="20"/>
          <w14:ligatures w14:val="none"/>
        </w:rPr>
        <w:t xml:space="preserve">wobec organu administracji publicznej, który wydał decyzję </w:t>
      </w:r>
      <w:r w:rsidRPr="00014A51">
        <w:rPr>
          <w:rFonts w:ascii="Century Gothic" w:eastAsia="Times New Roman" w:hAnsi="Century Gothic" w:cs="Times New Roman"/>
          <w:kern w:val="0"/>
          <w:sz w:val="20"/>
          <w:szCs w:val="20"/>
          <w:lang w:eastAsia="ar-SA"/>
          <w14:ligatures w14:val="none"/>
        </w:rPr>
        <w:t xml:space="preserve">- art. 127 a </w:t>
      </w:r>
      <w:r w:rsidRPr="00014A51">
        <w:rPr>
          <w:rFonts w:ascii="Century Gothic" w:eastAsia="Times New Roman" w:hAnsi="Century Gothic" w:cs="Times New Roman"/>
          <w:kern w:val="0"/>
          <w:sz w:val="20"/>
          <w:szCs w:val="20"/>
          <w14:ligatures w14:val="none"/>
        </w:rPr>
        <w:t>§ 1 k.p.a.</w:t>
      </w:r>
    </w:p>
    <w:p w14:paraId="14A476C3" w14:textId="77777777" w:rsidR="00014A51" w:rsidRPr="00014A51" w:rsidRDefault="00014A51" w:rsidP="00014A51">
      <w:pPr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0"/>
          <w:szCs w:val="20"/>
          <w14:ligatures w14:val="none"/>
        </w:rPr>
        <w:t>Z dniem doręczenia organowi administracji publicznej oświadczenia o zrzeczeniu się prawa do wniesienia odwołania przez ostatnią ze stron postępowania, decyzja staje się ostateczna i prawomocna.</w:t>
      </w:r>
    </w:p>
    <w:p w14:paraId="046CDE40" w14:textId="77777777" w:rsidR="00014A51" w:rsidRPr="00014A51" w:rsidRDefault="00014A51" w:rsidP="00014A51">
      <w:pPr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0"/>
          <w:szCs w:val="20"/>
          <w14:ligatures w14:val="none"/>
        </w:rPr>
        <w:t xml:space="preserve">W przypadku wymienionym w pkt. 2 i 3 odwołanie służyć nie będzie i decyzja stanie się ostateczna i prawomocna z dniem doręczenia organowi oświadczenia o zrzeczeniu się prawa do odwołania -  </w:t>
      </w:r>
      <w:r w:rsidRPr="00014A51">
        <w:rPr>
          <w:rFonts w:ascii="Century Gothic" w:eastAsia="Times New Roman" w:hAnsi="Century Gothic" w:cs="Times New Roman"/>
          <w:kern w:val="0"/>
          <w:sz w:val="20"/>
          <w:szCs w:val="20"/>
          <w:lang w:eastAsia="ar-SA"/>
          <w14:ligatures w14:val="none"/>
        </w:rPr>
        <w:t xml:space="preserve">art. 107 </w:t>
      </w:r>
      <w:r w:rsidRPr="00014A51">
        <w:rPr>
          <w:rFonts w:ascii="Century Gothic" w:eastAsia="Times New Roman" w:hAnsi="Century Gothic" w:cs="Times New Roman"/>
          <w:kern w:val="0"/>
          <w:sz w:val="20"/>
          <w:szCs w:val="20"/>
          <w14:ligatures w14:val="none"/>
        </w:rPr>
        <w:t>§ 1 pkt. 7 k.p.a.</w:t>
      </w:r>
    </w:p>
    <w:p w14:paraId="5F96F4B2" w14:textId="77777777" w:rsidR="00014A51" w:rsidRPr="00014A51" w:rsidRDefault="00014A51" w:rsidP="00014A51">
      <w:pPr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0"/>
          <w:szCs w:val="20"/>
          <w14:ligatures w14:val="none"/>
        </w:rPr>
        <w:t xml:space="preserve">Decyzja podlega wykonaniu przed upływem terminu do wniesienia odwołania, jeżeli jest zgodna z żądaniem wszystkich stron lub jeżeli wszystkie strony zrzekły się prawa do wniesienia odwołania. -  </w:t>
      </w:r>
      <w:r w:rsidRPr="00014A51">
        <w:rPr>
          <w:rFonts w:ascii="Century Gothic" w:eastAsia="Times New Roman" w:hAnsi="Century Gothic" w:cs="Times New Roman"/>
          <w:kern w:val="0"/>
          <w:sz w:val="20"/>
          <w:szCs w:val="20"/>
          <w:lang w:eastAsia="ar-SA"/>
          <w14:ligatures w14:val="none"/>
        </w:rPr>
        <w:t xml:space="preserve">art. 130 </w:t>
      </w:r>
      <w:r w:rsidRPr="00014A51">
        <w:rPr>
          <w:rFonts w:ascii="Century Gothic" w:eastAsia="Times New Roman" w:hAnsi="Century Gothic" w:cs="Times New Roman"/>
          <w:kern w:val="0"/>
          <w:sz w:val="20"/>
          <w:szCs w:val="20"/>
          <w14:ligatures w14:val="none"/>
        </w:rPr>
        <w:t>§ 4 k.p.a.</w:t>
      </w:r>
    </w:p>
    <w:p w14:paraId="3D363A63" w14:textId="77777777" w:rsidR="00014A51" w:rsidRPr="00014A51" w:rsidRDefault="00014A51" w:rsidP="00014A51">
      <w:pPr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Decyzję o środowiskowych uwarunkowaniach dołącza się do wniosku o wydanie decyzji, o której mowa w art. 72 ust. 1 oraz zgłoszenia</w:t>
      </w:r>
      <w:r w:rsidRPr="00014A5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, o którym mowa w ust. 1a</w:t>
      </w:r>
      <w:r w:rsidRPr="00014A51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ustawy z dnia 3 października 2008 roku o udostępnianiu informacji o środowisku i jego ochronie, udziale społeczeństwa w ochronie środowiska oraz o ocenach oddziaływania na środowisko; </w:t>
      </w:r>
    </w:p>
    <w:p w14:paraId="646ACD1E" w14:textId="77777777" w:rsidR="00014A51" w:rsidRPr="00014A51" w:rsidRDefault="00014A51" w:rsidP="00014A51">
      <w:pPr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Za niniejszą decyzję administracyjną pobrano opłatę skarbową w wysokości 205 zł zgodnie z częścią I, pkt. 45  załącznika do ustawy z dnia 16 listopada 2006 r. o opłacie skarbowej </w:t>
      </w:r>
      <w:r w:rsidRPr="00014A51">
        <w:rPr>
          <w:rFonts w:ascii="Century Gothic" w:eastAsia="Times New Roman" w:hAnsi="Century Gothic" w:cs="Times New Roman"/>
          <w:kern w:val="0"/>
          <w:sz w:val="20"/>
          <w:szCs w:val="20"/>
          <w14:ligatures w14:val="none"/>
        </w:rPr>
        <w:t>/Dz. U. z 2023 r. poz. 2111/</w:t>
      </w:r>
    </w:p>
    <w:p w14:paraId="704BD9FA" w14:textId="77777777" w:rsidR="00014A51" w:rsidRPr="00014A51" w:rsidRDefault="00014A51" w:rsidP="00014A51">
      <w:pPr>
        <w:spacing w:after="0" w:line="276" w:lineRule="auto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u w:val="single"/>
          <w14:ligatures w14:val="none"/>
        </w:rPr>
      </w:pPr>
    </w:p>
    <w:p w14:paraId="28F6431C" w14:textId="77777777" w:rsidR="00014A51" w:rsidRPr="00014A51" w:rsidRDefault="00014A51" w:rsidP="00014A51">
      <w:pPr>
        <w:spacing w:after="0" w:line="276" w:lineRule="auto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u w:val="single"/>
          <w14:ligatures w14:val="none"/>
        </w:rPr>
      </w:pPr>
    </w:p>
    <w:p w14:paraId="0A79433F" w14:textId="77777777" w:rsidR="00014A51" w:rsidRPr="00014A51" w:rsidRDefault="00014A51" w:rsidP="00014A51">
      <w:pPr>
        <w:spacing w:after="0" w:line="276" w:lineRule="auto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u w:val="single"/>
          <w14:ligatures w14:val="none"/>
        </w:rPr>
      </w:pPr>
      <w:r w:rsidRPr="00014A51"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u w:val="single"/>
          <w14:ligatures w14:val="none"/>
        </w:rPr>
        <w:t>Załącznik:</w:t>
      </w:r>
    </w:p>
    <w:p w14:paraId="69157298" w14:textId="77777777" w:rsidR="00014A51" w:rsidRPr="00014A51" w:rsidRDefault="00014A51" w:rsidP="00014A51">
      <w:pPr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18"/>
          <w:szCs w:val="18"/>
          <w14:ligatures w14:val="none"/>
        </w:rPr>
        <w:t>Charakterystyka przedsięwzięcia</w:t>
      </w:r>
    </w:p>
    <w:p w14:paraId="76DA1F96" w14:textId="77777777" w:rsidR="00014A51" w:rsidRPr="00014A51" w:rsidRDefault="00014A51" w:rsidP="00014A51">
      <w:pPr>
        <w:spacing w:after="0" w:line="276" w:lineRule="auto"/>
        <w:rPr>
          <w:rFonts w:ascii="Century Gothic" w:eastAsia="Times New Roman" w:hAnsi="Century Gothic" w:cs="Times New Roman"/>
          <w:b/>
          <w:bCs/>
          <w:kern w:val="0"/>
          <w:sz w:val="21"/>
          <w:szCs w:val="21"/>
          <w:u w:val="single"/>
          <w14:ligatures w14:val="none"/>
        </w:rPr>
      </w:pPr>
    </w:p>
    <w:p w14:paraId="28FAACB0" w14:textId="77777777" w:rsidR="00014A51" w:rsidRPr="00014A51" w:rsidRDefault="00014A51" w:rsidP="00014A51">
      <w:pPr>
        <w:spacing w:after="0" w:line="276" w:lineRule="auto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u w:val="single"/>
          <w14:ligatures w14:val="none"/>
        </w:rPr>
      </w:pPr>
      <w:r w:rsidRPr="00014A51"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u w:val="single"/>
          <w14:ligatures w14:val="none"/>
        </w:rPr>
        <w:lastRenderedPageBreak/>
        <w:t>Otrzymują:</w:t>
      </w:r>
    </w:p>
    <w:p w14:paraId="33BFA4B2" w14:textId="77777777" w:rsidR="00014A51" w:rsidRPr="00014A51" w:rsidRDefault="00014A51" w:rsidP="00014A51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kern w:val="0"/>
          <w:sz w:val="18"/>
          <w:szCs w:val="18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18"/>
          <w:szCs w:val="18"/>
          <w14:ligatures w14:val="none"/>
        </w:rPr>
        <w:t xml:space="preserve">Strony postępowania administracyjnego wg rozdzielnika </w:t>
      </w:r>
    </w:p>
    <w:p w14:paraId="5A1E0273" w14:textId="77777777" w:rsidR="00014A51" w:rsidRPr="00014A51" w:rsidRDefault="00014A51" w:rsidP="00014A51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kern w:val="0"/>
          <w:sz w:val="18"/>
          <w:szCs w:val="18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18"/>
          <w:szCs w:val="18"/>
          <w14:ligatures w14:val="none"/>
        </w:rPr>
        <w:t>a/a (sprawę prowadzi Rafał Skweres – tel. 61 424 57 66)</w:t>
      </w:r>
    </w:p>
    <w:p w14:paraId="4C50E20C" w14:textId="77777777" w:rsidR="00014A51" w:rsidRPr="00014A51" w:rsidRDefault="00014A51" w:rsidP="00014A51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kern w:val="0"/>
          <w:sz w:val="18"/>
          <w:szCs w:val="18"/>
          <w:u w:val="single"/>
          <w14:ligatures w14:val="none"/>
        </w:rPr>
      </w:pPr>
    </w:p>
    <w:p w14:paraId="55FCD241" w14:textId="77777777" w:rsidR="00014A51" w:rsidRPr="00014A51" w:rsidRDefault="00014A51" w:rsidP="00014A51">
      <w:pPr>
        <w:spacing w:after="0" w:line="276" w:lineRule="auto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u w:val="single"/>
          <w14:ligatures w14:val="none"/>
        </w:rPr>
      </w:pPr>
      <w:r w:rsidRPr="00014A51"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u w:val="single"/>
          <w14:ligatures w14:val="none"/>
        </w:rPr>
        <w:t>Do wiadomości:</w:t>
      </w:r>
    </w:p>
    <w:p w14:paraId="5F1AF708" w14:textId="77777777" w:rsidR="00014A51" w:rsidRPr="00014A51" w:rsidRDefault="00014A51" w:rsidP="00014A51">
      <w:pPr>
        <w:numPr>
          <w:ilvl w:val="0"/>
          <w:numId w:val="8"/>
        </w:numPr>
        <w:spacing w:after="0" w:line="276" w:lineRule="auto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  <w:t>Regionalny Dyrektor Ochrony Środowiska w Poznaniu, ul. J. H. Dąbrowskiego 79, 60-529 Poznań</w:t>
      </w:r>
    </w:p>
    <w:p w14:paraId="2883CB92" w14:textId="77777777" w:rsidR="00014A51" w:rsidRPr="00014A51" w:rsidRDefault="00014A51" w:rsidP="00014A51">
      <w:pPr>
        <w:numPr>
          <w:ilvl w:val="0"/>
          <w:numId w:val="8"/>
        </w:numPr>
        <w:spacing w:after="0" w:line="276" w:lineRule="auto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  <w:t>Państwowy Powiatowy Inspektor Sanitarny w Gnieźnie, ul. Św. Wawrzyńca 18, 62-200 Gniezno</w:t>
      </w:r>
    </w:p>
    <w:p w14:paraId="63255576" w14:textId="77777777" w:rsidR="00014A51" w:rsidRPr="00014A51" w:rsidRDefault="00014A51" w:rsidP="00014A51">
      <w:pPr>
        <w:numPr>
          <w:ilvl w:val="0"/>
          <w:numId w:val="8"/>
        </w:numPr>
        <w:spacing w:after="0" w:line="276" w:lineRule="auto"/>
        <w:jc w:val="both"/>
        <w:rPr>
          <w:rFonts w:ascii="Century Gothic" w:eastAsia="Times New Roman" w:hAnsi="Century Gothic" w:cs="Times New Roman"/>
          <w:kern w:val="0"/>
          <w:sz w:val="18"/>
          <w:szCs w:val="18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  <w:t>Dyrektor Zarządu Zlewni Wód Polskich w Poznaniu, ul. Szewska 1, 61-760 Poznań</w:t>
      </w:r>
    </w:p>
    <w:p w14:paraId="2A4C7D44" w14:textId="77777777" w:rsidR="00014A51" w:rsidRPr="00014A51" w:rsidRDefault="00014A51" w:rsidP="00014A51">
      <w:pPr>
        <w:spacing w:after="0" w:line="276" w:lineRule="auto"/>
        <w:jc w:val="both"/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</w:pPr>
    </w:p>
    <w:p w14:paraId="536E54AC" w14:textId="77777777" w:rsidR="00014A51" w:rsidRPr="00014A51" w:rsidRDefault="00014A51" w:rsidP="00014A51">
      <w:pPr>
        <w:spacing w:after="120" w:line="276" w:lineRule="auto"/>
        <w:ind w:left="283"/>
        <w:jc w:val="both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b/>
          <w:kern w:val="0"/>
          <w:sz w:val="16"/>
          <w:szCs w:val="16"/>
          <w:u w:val="single"/>
          <w:lang w:eastAsia="pl-PL"/>
          <w14:ligatures w14:val="none"/>
        </w:rPr>
        <w:t>Uwaga</w:t>
      </w:r>
      <w:r w:rsidRPr="00014A51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pl-PL"/>
          <w14:ligatures w14:val="none"/>
        </w:rPr>
        <w:t>:</w:t>
      </w:r>
    </w:p>
    <w:p w14:paraId="4AB32273" w14:textId="77777777" w:rsidR="00014A51" w:rsidRPr="00014A51" w:rsidRDefault="00014A51" w:rsidP="00014A51">
      <w:pPr>
        <w:spacing w:after="120" w:line="276" w:lineRule="auto"/>
        <w:jc w:val="both"/>
        <w:rPr>
          <w:rFonts w:ascii="Century Gothic" w:eastAsia="Times New Roman" w:hAnsi="Century Gothic" w:cs="Times New Roman"/>
          <w:kern w:val="0"/>
          <w:sz w:val="16"/>
          <w:szCs w:val="16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16"/>
          <w:szCs w:val="16"/>
          <w:lang w:eastAsia="pl-PL"/>
          <w14:ligatures w14:val="none"/>
        </w:rPr>
        <w:tab/>
        <w:t xml:space="preserve">Ponieważ w powyższej sprawie liczba stron postępowania przekracza 10, zgodnie z art. 74 ust. 3 ustawy z dnia 3 października 2008 roku o udostępnianiu informacji o środowisku i jego ochronie, udziale społeczeństwa w ochronie środowiska oraz o ocenach oddziaływania na środowisko oraz art. 49 Kodeksu postępowania administracyjnego – zawiadomienie stron o wydanej decyzji zostaje podane w formie obwieszczenia. Doręczenie uważa się za dokonane po upływie czternastu dni od dnia publicznego ogłoszenia. Publiczne udostępnienie następuje z dniem </w:t>
      </w:r>
      <w:r w:rsidRPr="00014A51"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pl-PL"/>
          <w14:ligatures w14:val="none"/>
        </w:rPr>
        <w:t>16 lutego 2024 roku.</w:t>
      </w:r>
    </w:p>
    <w:p w14:paraId="553D790E" w14:textId="77777777" w:rsidR="00014A51" w:rsidRPr="00014A51" w:rsidRDefault="00014A51" w:rsidP="00014A51">
      <w:pPr>
        <w:spacing w:after="0" w:line="48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u w:val="single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0"/>
          <w:szCs w:val="20"/>
          <w:u w:val="single"/>
          <w14:ligatures w14:val="none"/>
        </w:rPr>
        <w:t xml:space="preserve">Wywieszono na tablicy ogłoszeń ………………………….…………….………………………………… </w:t>
      </w:r>
      <w:r w:rsidRPr="00014A51">
        <w:rPr>
          <w:rFonts w:ascii="Century Gothic" w:eastAsia="Times New Roman" w:hAnsi="Century Gothic" w:cs="Times New Roman"/>
          <w:kern w:val="0"/>
          <w:sz w:val="20"/>
          <w:szCs w:val="20"/>
          <w:u w:val="single"/>
          <w14:ligatures w14:val="none"/>
        </w:rPr>
        <w:br/>
        <w:t>na okres od dnia …………….……………. do dnia  ………..…...……………..</w:t>
      </w:r>
    </w:p>
    <w:p w14:paraId="325A01C7" w14:textId="77777777" w:rsidR="00014A51" w:rsidRPr="00014A51" w:rsidRDefault="00014A51" w:rsidP="00014A51">
      <w:pPr>
        <w:spacing w:after="0" w:line="276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Podpis i pieczątka</w:t>
      </w:r>
    </w:p>
    <w:p w14:paraId="4202F427" w14:textId="77777777" w:rsidR="00014A51" w:rsidRPr="00014A51" w:rsidRDefault="00014A51" w:rsidP="00014A51">
      <w:pPr>
        <w:spacing w:after="0" w:line="276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sectPr w:rsidR="00014A51" w:rsidRPr="00014A51" w:rsidSect="00C705E3">
          <w:pgSz w:w="11906" w:h="16838"/>
          <w:pgMar w:top="1134" w:right="1417" w:bottom="1417" w:left="1417" w:header="708" w:footer="708" w:gutter="0"/>
          <w:cols w:space="708"/>
        </w:sectPr>
      </w:pPr>
    </w:p>
    <w:p w14:paraId="065D533D" w14:textId="77777777" w:rsidR="00014A51" w:rsidRPr="00014A51" w:rsidRDefault="00014A51" w:rsidP="00014A51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b/>
          <w:kern w:val="0"/>
          <w:sz w:val="21"/>
          <w:szCs w:val="21"/>
          <w:lang w:eastAsia="pl-PL"/>
          <w14:ligatures w14:val="none"/>
        </w:rPr>
        <w:lastRenderedPageBreak/>
        <w:t xml:space="preserve">Załącznik do decyzji o środowiskowych uwarunkowaniach </w:t>
      </w:r>
      <w:r w:rsidRPr="00014A51">
        <w:rPr>
          <w:rFonts w:ascii="Century Gothic" w:eastAsia="Times New Roman" w:hAnsi="Century Gothic" w:cs="Times New Roman"/>
          <w:b/>
          <w:kern w:val="0"/>
          <w:sz w:val="21"/>
          <w:szCs w:val="21"/>
          <w:lang w:eastAsia="pl-PL"/>
          <w14:ligatures w14:val="none"/>
        </w:rPr>
        <w:br/>
        <w:t>znak OŚR.6220.6.2023 z dnia 15 lutego 2024 roku</w:t>
      </w:r>
    </w:p>
    <w:p w14:paraId="454F012F" w14:textId="77777777" w:rsidR="00014A51" w:rsidRPr="00014A51" w:rsidRDefault="00014A51" w:rsidP="00014A51">
      <w:pPr>
        <w:spacing w:after="0" w:line="276" w:lineRule="auto"/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</w:pPr>
    </w:p>
    <w:p w14:paraId="02ED407E" w14:textId="77777777" w:rsidR="00014A51" w:rsidRPr="00014A51" w:rsidRDefault="00014A51" w:rsidP="00014A51">
      <w:pPr>
        <w:keepNext/>
        <w:spacing w:after="120" w:line="276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b/>
          <w:bCs/>
          <w:kern w:val="0"/>
          <w:sz w:val="21"/>
          <w:szCs w:val="21"/>
          <w:lang w:eastAsia="pl-PL"/>
          <w14:ligatures w14:val="none"/>
        </w:rPr>
        <w:t>Charakterystyka przedsięwzięcia</w:t>
      </w:r>
    </w:p>
    <w:p w14:paraId="62CFE223" w14:textId="77777777" w:rsidR="00014A51" w:rsidRPr="00014A51" w:rsidRDefault="00014A51" w:rsidP="00014A51">
      <w:pPr>
        <w:spacing w:after="0" w:line="276" w:lineRule="auto"/>
        <w:ind w:firstLine="708"/>
        <w:jc w:val="both"/>
        <w:rPr>
          <w:rFonts w:ascii="Century Gothic" w:eastAsia="Times New Roman" w:hAnsi="Century Gothic" w:cs="Arial"/>
          <w:spacing w:val="-4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Planowane przedsięwzięcie polegać będzie na </w:t>
      </w:r>
      <w:r w:rsidRPr="00014A51">
        <w:rPr>
          <w:rFonts w:ascii="Century Gothic" w:eastAsia="Times New Roman" w:hAnsi="Century Gothic" w:cs="Times New Roman"/>
          <w:bCs/>
          <w:kern w:val="0"/>
          <w:sz w:val="21"/>
          <w:szCs w:val="21"/>
          <w14:ligatures w14:val="none"/>
        </w:rPr>
        <w:t>budowie do 24 farm fotowoltaicznych o łącznej mocy do 24 MW wraz z niezbędną infrastrukturą techniczną w miejscowości Obora, Gmina Gniezno, działki nr 101/1 i 101/5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, na łącznej powierzchni do 13,32 ha. </w:t>
      </w:r>
    </w:p>
    <w:p w14:paraId="5C2333AE" w14:textId="77777777" w:rsidR="00014A51" w:rsidRPr="00014A51" w:rsidRDefault="00014A51" w:rsidP="00014A51">
      <w:pPr>
        <w:spacing w:after="0" w:line="276" w:lineRule="auto"/>
        <w:ind w:firstLine="708"/>
        <w:jc w:val="both"/>
        <w:rPr>
          <w:rFonts w:ascii="Century Gothic" w:eastAsia="Times New Roman" w:hAnsi="Century Gothic" w:cs="Arial"/>
          <w:spacing w:val="-4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Times New Roman"/>
          <w:bCs/>
          <w:kern w:val="0"/>
          <w:sz w:val="21"/>
          <w:szCs w:val="21"/>
          <w14:ligatures w14:val="none"/>
        </w:rPr>
        <w:t xml:space="preserve">Przewiduje się użycie na farmie fotowoltaicznej do 4500 sztuk paneli fotowoltaicznych na 1 MW zainstalowanej mocy (w zależności od mocy użytych paneli). Łączna liczba paneli wyniesie do 108000 sztuk. Całkowita wysokość instalacji wyniesie do 5 m, a odległość między rzędami do 10 m. Ponadto farma fotowoltaiczna składać się będzie z następujących elementów:  </w:t>
      </w:r>
    </w:p>
    <w:p w14:paraId="4D827852" w14:textId="77777777" w:rsidR="00014A51" w:rsidRPr="00014A51" w:rsidRDefault="00014A51" w:rsidP="00014A51">
      <w:pPr>
        <w:spacing w:after="0" w:line="276" w:lineRule="auto"/>
        <w:ind w:firstLine="710"/>
        <w:jc w:val="both"/>
        <w:rPr>
          <w:rFonts w:ascii="Century Gothic" w:eastAsia="Calibri" w:hAnsi="Century Gothic" w:cs="Arial"/>
          <w:kern w:val="0"/>
          <w:sz w:val="21"/>
          <w:szCs w:val="21"/>
          <w:lang w:eastAsia="ar-SA"/>
          <w14:ligatures w14:val="none"/>
        </w:rPr>
      </w:pPr>
      <w:bookmarkStart w:id="2" w:name="_Hlk152572712"/>
      <w:r w:rsidRPr="00014A51">
        <w:rPr>
          <w:rFonts w:ascii="Century Gothic" w:eastAsia="Calibri" w:hAnsi="Century Gothic" w:cs="Arial"/>
          <w:kern w:val="0"/>
          <w:sz w:val="21"/>
          <w:szCs w:val="21"/>
          <w:lang w:eastAsia="ar-SA"/>
          <w14:ligatures w14:val="none"/>
        </w:rPr>
        <w:t xml:space="preserve">- do 24 sztuk stacji transformatorowych, </w:t>
      </w:r>
    </w:p>
    <w:p w14:paraId="214EC106" w14:textId="77777777" w:rsidR="00014A51" w:rsidRPr="00014A51" w:rsidRDefault="00014A51" w:rsidP="00014A51">
      <w:pPr>
        <w:spacing w:after="0" w:line="276" w:lineRule="auto"/>
        <w:ind w:firstLine="710"/>
        <w:jc w:val="both"/>
        <w:rPr>
          <w:rFonts w:ascii="Century Gothic" w:eastAsia="Calibri" w:hAnsi="Century Gothic" w:cs="Arial"/>
          <w:kern w:val="0"/>
          <w:sz w:val="21"/>
          <w:szCs w:val="21"/>
          <w:lang w:eastAsia="ar-SA"/>
          <w14:ligatures w14:val="none"/>
        </w:rPr>
      </w:pPr>
      <w:r w:rsidRPr="00014A51">
        <w:rPr>
          <w:rFonts w:ascii="Century Gothic" w:eastAsia="Calibri" w:hAnsi="Century Gothic" w:cs="Arial"/>
          <w:kern w:val="0"/>
          <w:sz w:val="21"/>
          <w:szCs w:val="21"/>
          <w:lang w:eastAsia="ar-SA"/>
          <w14:ligatures w14:val="none"/>
        </w:rPr>
        <w:t xml:space="preserve">- do 336 sztuk inwerterów, </w:t>
      </w:r>
    </w:p>
    <w:p w14:paraId="654FD7D9" w14:textId="77777777" w:rsidR="00014A51" w:rsidRPr="00014A51" w:rsidRDefault="00014A51" w:rsidP="00014A51">
      <w:pPr>
        <w:spacing w:after="0" w:line="276" w:lineRule="auto"/>
        <w:ind w:firstLine="710"/>
        <w:jc w:val="both"/>
        <w:rPr>
          <w:rFonts w:ascii="Century Gothic" w:eastAsia="Calibri" w:hAnsi="Century Gothic" w:cs="Arial"/>
          <w:kern w:val="0"/>
          <w:sz w:val="21"/>
          <w:szCs w:val="21"/>
          <w:lang w:eastAsia="ar-SA"/>
          <w14:ligatures w14:val="none"/>
        </w:rPr>
      </w:pPr>
      <w:r w:rsidRPr="00014A51">
        <w:rPr>
          <w:rFonts w:ascii="Century Gothic" w:eastAsia="Calibri" w:hAnsi="Century Gothic" w:cs="Arial"/>
          <w:kern w:val="0"/>
          <w:sz w:val="21"/>
          <w:szCs w:val="21"/>
          <w:lang w:eastAsia="ar-SA"/>
          <w14:ligatures w14:val="none"/>
        </w:rPr>
        <w:t xml:space="preserve">- do 24 magazynów energii, </w:t>
      </w:r>
    </w:p>
    <w:p w14:paraId="43188369" w14:textId="77777777" w:rsidR="00014A51" w:rsidRPr="00014A51" w:rsidRDefault="00014A51" w:rsidP="00014A5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kern w:val="0"/>
          <w:sz w:val="21"/>
          <w:szCs w:val="21"/>
        </w:rPr>
      </w:pPr>
      <w:r w:rsidRPr="00014A51">
        <w:rPr>
          <w:rFonts w:ascii="Century Gothic" w:hAnsi="Century Gothic" w:cs="Times New Roman"/>
          <w:kern w:val="0"/>
          <w:sz w:val="21"/>
          <w:szCs w:val="21"/>
        </w:rPr>
        <w:t xml:space="preserve">            </w:t>
      </w:r>
      <w:r w:rsidRPr="00014A51">
        <w:rPr>
          <w:rFonts w:ascii="Century Gothic" w:hAnsi="Century Gothic" w:cs="Courier New"/>
          <w:kern w:val="0"/>
          <w:sz w:val="21"/>
          <w:szCs w:val="21"/>
        </w:rPr>
        <w:t xml:space="preserve">- </w:t>
      </w:r>
      <w:r w:rsidRPr="00014A51">
        <w:rPr>
          <w:rFonts w:ascii="Century Gothic" w:hAnsi="Century Gothic" w:cs="Times New Roman"/>
          <w:kern w:val="0"/>
          <w:sz w:val="21"/>
          <w:szCs w:val="21"/>
        </w:rPr>
        <w:t xml:space="preserve">dróg wewnętrznych, </w:t>
      </w:r>
    </w:p>
    <w:p w14:paraId="1E763C59" w14:textId="77777777" w:rsidR="00014A51" w:rsidRPr="00014A51" w:rsidRDefault="00014A51" w:rsidP="00014A5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kern w:val="0"/>
          <w:sz w:val="21"/>
          <w:szCs w:val="21"/>
        </w:rPr>
      </w:pPr>
      <w:r w:rsidRPr="00014A51">
        <w:rPr>
          <w:rFonts w:ascii="Century Gothic" w:hAnsi="Century Gothic" w:cs="Times New Roman"/>
          <w:kern w:val="0"/>
          <w:sz w:val="21"/>
          <w:szCs w:val="21"/>
        </w:rPr>
        <w:tab/>
        <w:t xml:space="preserve">- linii kablowych </w:t>
      </w:r>
      <w:proofErr w:type="spellStart"/>
      <w:r w:rsidRPr="00014A51">
        <w:rPr>
          <w:rFonts w:ascii="Century Gothic" w:hAnsi="Century Gothic" w:cs="Times New Roman"/>
          <w:kern w:val="0"/>
          <w:sz w:val="21"/>
          <w:szCs w:val="21"/>
        </w:rPr>
        <w:t>energetyczno</w:t>
      </w:r>
      <w:proofErr w:type="spellEnd"/>
      <w:r w:rsidRPr="00014A51">
        <w:rPr>
          <w:rFonts w:ascii="Century Gothic" w:hAnsi="Century Gothic" w:cs="Times New Roman"/>
          <w:kern w:val="0"/>
          <w:sz w:val="21"/>
          <w:szCs w:val="21"/>
        </w:rPr>
        <w:t xml:space="preserve"> – światłowodowych, </w:t>
      </w:r>
    </w:p>
    <w:p w14:paraId="38F5D6B5" w14:textId="77777777" w:rsidR="00014A51" w:rsidRPr="00014A51" w:rsidRDefault="00014A51" w:rsidP="00014A5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kern w:val="0"/>
          <w:sz w:val="21"/>
          <w:szCs w:val="21"/>
        </w:rPr>
      </w:pPr>
      <w:r w:rsidRPr="00014A51">
        <w:rPr>
          <w:rFonts w:ascii="Century Gothic" w:hAnsi="Century Gothic" w:cs="Courier New"/>
          <w:kern w:val="0"/>
          <w:sz w:val="21"/>
          <w:szCs w:val="21"/>
        </w:rPr>
        <w:t xml:space="preserve">            </w:t>
      </w:r>
      <w:r w:rsidRPr="00014A51">
        <w:rPr>
          <w:rFonts w:ascii="Century Gothic" w:hAnsi="Century Gothic" w:cs="Arial"/>
          <w:kern w:val="0"/>
          <w:sz w:val="21"/>
          <w:szCs w:val="21"/>
        </w:rPr>
        <w:t>-</w:t>
      </w:r>
      <w:r w:rsidRPr="00014A51">
        <w:rPr>
          <w:rFonts w:ascii="Century Gothic" w:hAnsi="Century Gothic" w:cs="Courier New"/>
          <w:kern w:val="0"/>
          <w:sz w:val="21"/>
          <w:szCs w:val="21"/>
        </w:rPr>
        <w:t xml:space="preserve"> </w:t>
      </w:r>
      <w:r w:rsidRPr="00014A51">
        <w:rPr>
          <w:rFonts w:ascii="Century Gothic" w:hAnsi="Century Gothic" w:cs="Times New Roman"/>
          <w:kern w:val="0"/>
          <w:sz w:val="21"/>
          <w:szCs w:val="21"/>
        </w:rPr>
        <w:t>przyłącza elektroenergetycznego,</w:t>
      </w:r>
    </w:p>
    <w:p w14:paraId="4A3AB652" w14:textId="77777777" w:rsidR="00014A51" w:rsidRPr="00014A51" w:rsidRDefault="00014A51" w:rsidP="00014A5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kern w:val="0"/>
          <w:sz w:val="21"/>
          <w:szCs w:val="21"/>
        </w:rPr>
      </w:pPr>
      <w:r w:rsidRPr="00014A51">
        <w:rPr>
          <w:rFonts w:ascii="Century Gothic" w:hAnsi="Century Gothic" w:cs="Times New Roman"/>
          <w:kern w:val="0"/>
          <w:sz w:val="21"/>
          <w:szCs w:val="21"/>
        </w:rPr>
        <w:tab/>
        <w:t xml:space="preserve">- ogrodzenia, </w:t>
      </w:r>
    </w:p>
    <w:p w14:paraId="49713617" w14:textId="77777777" w:rsidR="00014A51" w:rsidRPr="00014A51" w:rsidRDefault="00014A51" w:rsidP="00014A5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kern w:val="0"/>
          <w:sz w:val="21"/>
          <w:szCs w:val="21"/>
        </w:rPr>
      </w:pPr>
      <w:r w:rsidRPr="00014A51">
        <w:rPr>
          <w:rFonts w:ascii="Century Gothic" w:hAnsi="Century Gothic" w:cs="Courier New"/>
          <w:kern w:val="0"/>
          <w:sz w:val="21"/>
          <w:szCs w:val="21"/>
        </w:rPr>
        <w:t xml:space="preserve">            </w:t>
      </w:r>
      <w:r w:rsidRPr="00014A51">
        <w:rPr>
          <w:rFonts w:ascii="Century Gothic" w:hAnsi="Century Gothic" w:cs="Arial"/>
          <w:kern w:val="0"/>
          <w:sz w:val="21"/>
          <w:szCs w:val="21"/>
        </w:rPr>
        <w:t xml:space="preserve">- </w:t>
      </w:r>
      <w:r w:rsidRPr="00014A51">
        <w:rPr>
          <w:rFonts w:ascii="Century Gothic" w:hAnsi="Century Gothic" w:cs="Times New Roman"/>
          <w:kern w:val="0"/>
          <w:sz w:val="21"/>
          <w:szCs w:val="21"/>
        </w:rPr>
        <w:t xml:space="preserve">innych niezbędnych elementów infrastruktury związanych z budową i eksploatacją parku ogniw (czujniki alarmowe, kamery). </w:t>
      </w:r>
    </w:p>
    <w:bookmarkEnd w:id="2"/>
    <w:p w14:paraId="1734E314" w14:textId="77777777" w:rsidR="00014A51" w:rsidRPr="00014A51" w:rsidRDefault="00014A51" w:rsidP="00014A51">
      <w:pPr>
        <w:spacing w:after="0" w:line="276" w:lineRule="auto"/>
        <w:ind w:firstLine="710"/>
        <w:jc w:val="both"/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>Podczas</w:t>
      </w:r>
      <w:r w:rsidRPr="00014A51">
        <w:rPr>
          <w:rFonts w:ascii="Century Gothic" w:eastAsia="Times New Roman" w:hAnsi="Century Gothic" w:cs="Times New Roman"/>
          <w:bCs/>
          <w:kern w:val="0"/>
          <w:sz w:val="21"/>
          <w:szCs w:val="21"/>
          <w14:ligatures w14:val="none"/>
        </w:rPr>
        <w:t xml:space="preserve"> realizacji planowanej inwestycji, dopuszcza się jej etapowanie. W przypadku przedmiotowej inwestycji możliwa jest jej realizacja w maksymalnie 24 etapach. Przy czym zaznacza się, iż każdy etap może mieć różną moc. Sumaryczna moc zrealizowanych części nie przekroczy 24 MW</w:t>
      </w:r>
    </w:p>
    <w:p w14:paraId="62F83E1F" w14:textId="77777777" w:rsidR="00014A51" w:rsidRPr="00014A51" w:rsidRDefault="00014A51" w:rsidP="00014A51">
      <w:pPr>
        <w:spacing w:after="0" w:line="276" w:lineRule="auto"/>
        <w:jc w:val="both"/>
        <w:rPr>
          <w:rFonts w:ascii="Century Gothic" w:eastAsia="Arial Narrow" w:hAnsi="Century Gothic" w:cs="Arial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 xml:space="preserve">W przypadku zamontowania transformatora olejowego, zostanie on wyposażony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br/>
        <w:t xml:space="preserve">w szczelną misę, mogącą zmagazynować całą objętość oleju oraz pozostałości po ewentualnej akcji gaśniczej. </w:t>
      </w:r>
    </w:p>
    <w:p w14:paraId="68740C84" w14:textId="77777777" w:rsidR="00014A51" w:rsidRPr="00014A51" w:rsidRDefault="00014A51" w:rsidP="00014A51">
      <w:pPr>
        <w:spacing w:after="0" w:line="276" w:lineRule="auto"/>
        <w:ind w:firstLine="720"/>
        <w:jc w:val="both"/>
        <w:rPr>
          <w:rFonts w:ascii="Century Gothic" w:eastAsia="Times New Roman" w:hAnsi="Century Gothic" w:cs="Times New Roman"/>
          <w:bCs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Times New Roman"/>
          <w:bCs/>
          <w:kern w:val="0"/>
          <w:sz w:val="21"/>
          <w:szCs w:val="21"/>
          <w:lang w:eastAsia="pl-PL"/>
          <w14:ligatures w14:val="none"/>
        </w:rPr>
        <w:t xml:space="preserve">Instalacja będzie bezobsługowa. Nie wymaga budowy zaplecza socjalnego, ani infrastruktury wodno-kanalizacyjnej. Mycie paneli fotowoltaicznych na etapie eksploatacji przeprowadzane będzie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shd w:val="clear" w:color="auto" w:fill="FFFFFF"/>
          <w14:ligatures w14:val="none"/>
        </w:rPr>
        <w:t xml:space="preserve">przy użyciu czystej wody bez dodatków detergentów. </w:t>
      </w:r>
      <w:r w:rsidRPr="00014A51">
        <w:rPr>
          <w:rFonts w:ascii="Century Gothic" w:eastAsia="Times New Roman" w:hAnsi="Century Gothic" w:cs="Times New Roman"/>
          <w:bCs/>
          <w:kern w:val="0"/>
          <w:sz w:val="21"/>
          <w:szCs w:val="21"/>
          <w14:ligatures w14:val="none"/>
        </w:rPr>
        <w:t>Wody opadowe i roztopowe nie będą ujmowane w systemy kanalizacyjne, będą infiltrować w grunt.</w:t>
      </w:r>
      <w:r w:rsidRPr="00014A51">
        <w:rPr>
          <w:rFonts w:ascii="Century Gothic" w:eastAsia="Times New Roman" w:hAnsi="Century Gothic" w:cs="Times New Roman"/>
          <w:bCs/>
          <w:kern w:val="0"/>
          <w:sz w:val="21"/>
          <w:szCs w:val="21"/>
          <w:lang w:eastAsia="pl-PL"/>
          <w14:ligatures w14:val="none"/>
        </w:rPr>
        <w:t xml:space="preserve"> Gospodarowanie odpadami na etapie realizacji, eksploatacji i likwidacji przedmiotowego przedsięwzięcia odbywać się będzie na zasadach określonych w obowiązujących przepisach szczegółowych. Dodatkowo wnioskodawca planuje korzystać z przenośnych toalet, które wyposażone są w szczelne, bezodpływowe zbiorniki na ścieki bytowe obsługiwane przez wyspecjalizowane zewnętrzne podmioty. </w:t>
      </w:r>
    </w:p>
    <w:p w14:paraId="47111B50" w14:textId="77777777" w:rsidR="00014A51" w:rsidRPr="00014A51" w:rsidRDefault="00014A51" w:rsidP="00014A51">
      <w:pPr>
        <w:spacing w:after="0" w:line="276" w:lineRule="auto"/>
        <w:ind w:firstLine="708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  <w:r w:rsidRPr="00014A51">
        <w:rPr>
          <w:rFonts w:ascii="Century Gothic" w:eastAsia="Times New Roman" w:hAnsi="Century Gothic" w:cs="Calibri"/>
          <w:kern w:val="0"/>
          <w:sz w:val="21"/>
          <w:szCs w:val="21"/>
          <w14:ligatures w14:val="none"/>
        </w:rPr>
        <w:t xml:space="preserve">Teren farmy zostanie ogrodzony i zostanie na nim zainstalowany system alarmowy.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Wykonane zostanie ażurowe ogrodzenie bez podmurówki z pozostawieniem min. 20 cm przerwy między ogrodzeniem, a gruntem, która umożliwi migrację drobnym zwierzętom. </w:t>
      </w:r>
    </w:p>
    <w:p w14:paraId="7651B376" w14:textId="77777777" w:rsidR="00014A51" w:rsidRPr="00014A51" w:rsidRDefault="00014A51" w:rsidP="00014A51">
      <w:pPr>
        <w:spacing w:after="0" w:line="276" w:lineRule="auto"/>
        <w:ind w:firstLine="708"/>
        <w:jc w:val="both"/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</w:pP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 xml:space="preserve">Przedmiotowe przedsięwzięcie będzie zlokalizowane na gruntach ornych. </w:t>
      </w:r>
      <w:r w:rsidRPr="00014A51"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  <w:t xml:space="preserve">Obszar przeznaczony pod planowaną farmę fotowoltaiczną zlokalizowany jest poza obszarami chronionymi na podstawie ustawy z 16 kwietnia 2004 r. o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:lang w:eastAsia="pl-PL"/>
          <w14:ligatures w14:val="none"/>
        </w:rPr>
        <w:t xml:space="preserve">ochronie przyrody /Dz. U. z 2023 r. poz. 1336 ze zm./. </w:t>
      </w:r>
      <w:r w:rsidRPr="00014A51">
        <w:rPr>
          <w:rFonts w:ascii="Century Gothic" w:eastAsia="Calibri" w:hAnsi="Century Gothic" w:cs="Times New Roman"/>
          <w:bCs/>
          <w:kern w:val="0"/>
          <w:sz w:val="21"/>
          <w:szCs w:val="21"/>
          <w14:ligatures w14:val="none"/>
        </w:rPr>
        <w:t xml:space="preserve">Najbliższym obszarem Natura 2000 jest specjalny obszar ochrony siedlisk Pojezierze Gnieźnieńskie PLH300026 oddalony od terenu przedsięwzięcia o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t xml:space="preserve">10,7 km i specjalny obszar ochrony siedlisk Grądy w Czerniejewie PLH300049, oddalony o 10,9 km </w:t>
      </w:r>
      <w:r w:rsidRPr="00014A51">
        <w:rPr>
          <w:rFonts w:ascii="Century Gothic" w:eastAsia="Times New Roman" w:hAnsi="Century Gothic" w:cs="Times New Roman"/>
          <w:kern w:val="0"/>
          <w:sz w:val="21"/>
          <w:szCs w:val="21"/>
          <w14:ligatures w14:val="none"/>
        </w:rPr>
        <w:lastRenderedPageBreak/>
        <w:t xml:space="preserve">od przedsięwzięcia. Realizacja przedsięwzięcia nie będzie związana z wycinką drzew i krzewów. </w:t>
      </w:r>
    </w:p>
    <w:p w14:paraId="375EA92F" w14:textId="77777777" w:rsidR="00014A51" w:rsidRPr="00014A51" w:rsidRDefault="00014A51" w:rsidP="00014A51">
      <w:pPr>
        <w:spacing w:after="0" w:line="276" w:lineRule="auto"/>
        <w:ind w:firstLine="709"/>
        <w:jc w:val="both"/>
        <w:rPr>
          <w:rFonts w:ascii="Century Gothic" w:eastAsia="Times New Roman" w:hAnsi="Century Gothic" w:cs="Calibri"/>
          <w:kern w:val="0"/>
          <w:sz w:val="21"/>
          <w:szCs w:val="21"/>
          <w:lang w:eastAsia="pl-PL"/>
          <w14:ligatures w14:val="none"/>
        </w:rPr>
      </w:pPr>
    </w:p>
    <w:p w14:paraId="458D3888" w14:textId="77777777" w:rsidR="00014A51" w:rsidRPr="00014A51" w:rsidRDefault="00014A51" w:rsidP="00014A51">
      <w:pPr>
        <w:spacing w:after="0" w:line="276" w:lineRule="auto"/>
        <w:ind w:firstLine="720"/>
        <w:jc w:val="both"/>
        <w:rPr>
          <w:rFonts w:ascii="Century Gothic" w:eastAsia="Times New Roman" w:hAnsi="Century Gothic" w:cs="Times New Roman"/>
          <w:bCs/>
          <w:kern w:val="0"/>
          <w:sz w:val="21"/>
          <w:szCs w:val="21"/>
          <w:lang w:eastAsia="pl-PL"/>
          <w14:ligatures w14:val="none"/>
        </w:rPr>
      </w:pPr>
    </w:p>
    <w:p w14:paraId="6F42B56F" w14:textId="77777777" w:rsidR="00EE1F09" w:rsidRDefault="00EE1F09"/>
    <w:sectPr w:rsidR="00EE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406D"/>
    <w:multiLevelType w:val="hybridMultilevel"/>
    <w:tmpl w:val="46E41B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C0AB0"/>
    <w:multiLevelType w:val="hybridMultilevel"/>
    <w:tmpl w:val="5D1C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84B0B"/>
    <w:multiLevelType w:val="hybridMultilevel"/>
    <w:tmpl w:val="52EE0070"/>
    <w:lvl w:ilvl="0" w:tplc="47422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132B05"/>
    <w:multiLevelType w:val="hybridMultilevel"/>
    <w:tmpl w:val="DC7C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03181"/>
    <w:multiLevelType w:val="hybridMultilevel"/>
    <w:tmpl w:val="E4427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857CD"/>
    <w:multiLevelType w:val="hybridMultilevel"/>
    <w:tmpl w:val="9E5803D4"/>
    <w:lvl w:ilvl="0" w:tplc="344A773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4486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051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021067">
    <w:abstractNumId w:val="0"/>
  </w:num>
  <w:num w:numId="4" w16cid:durableId="1132480223">
    <w:abstractNumId w:val="2"/>
  </w:num>
  <w:num w:numId="5" w16cid:durableId="1124734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23800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13558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40314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51"/>
    <w:rsid w:val="00014A51"/>
    <w:rsid w:val="00C705E3"/>
    <w:rsid w:val="00E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5733"/>
  <w15:chartTrackingRefBased/>
  <w15:docId w15:val="{DB05D0BC-D0E8-4A7F-B491-EC3BFDF5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5225</Words>
  <Characters>31350</Characters>
  <Application>Microsoft Office Word</Application>
  <DocSecurity>0</DocSecurity>
  <Lines>261</Lines>
  <Paragraphs>73</Paragraphs>
  <ScaleCrop>false</ScaleCrop>
  <Company/>
  <LinksUpToDate>false</LinksUpToDate>
  <CharactersWithSpaces>36502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cp:lastPrinted>2024-02-15T06:52:00Z</cp:lastPrinted>
  <dcterms:created xsi:type="dcterms:W3CDTF">2024-02-15T06:51:00Z</dcterms:created>
  <dcterms:modified xsi:type="dcterms:W3CDTF">2024-02-15T07:02:00Z</dcterms:modified>
</cp:coreProperties>
</file>